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ACPR/783/2025 vom 18. Oktober 2024</w:t>
      </w:r>
    </w:p>
    <w:p>
      <w:r>
        <w:t>GE Cour de justice, 2024-10-18, FR</w:t>
      </w:r>
    </w:p>
    <w:p>
      <w:r>
        <w:rPr>
          <w:b/>
        </w:rPr>
        <w:t xml:space="preserve">Quelle: </w:t>
      </w:r>
      <w:r>
        <w:t>https://mcp.opencaselaw.ch/entscheid/ge_gerichte_ACPR_783_2025</w:t>
      </w:r>
    </w:p>
    <w:p>
      <w:r>
        <w:t>FR: GE_GERICHTE ACPR/783/2025 du 18 octobre 2024</w:t>
      </w:r>
    </w:p>
    <w:p>
      <w:r>
        <w:t>IT: GE_GERICHTE ACPR/783/2025 del 18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lésée,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avoir poursuivi, aux côtés de E______, les propriétaires et responsables de la grille, soit notamment de B______ et C______ ainsi que la Ville de Genève, du chef de lésions corporelles par négligence.</w:t>
      </w:r>
    </w:p>
    <w:p>
      <w:r>
        <w:rPr>
          <w:b/>
        </w:rPr>
        <w:t>E. 3.1</w:t>
      </w:r>
    </w:p>
    <w:p>
      <w:r>
        <w:t>Aux termes de l'art. 319 al. 1 CPP, le ministère public ordonne le classement de tout ou partie de la procédure notamment lorsque les éléments constitutifs d'une infraction ne sont pas réunis (let. b). Selon la jurisprudence, cette disposition doit être appliquée conformément à l'adage "in dubio pro duriore".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w:t>
      </w:r>
    </w:p>
    <w:p>
      <w:r>
        <w:t>- 7/12 - P/4958/2021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3.2.1. L'art. 125 al. 1 CP [dans sa teneur en vigueur au moment des faits; art. 2 CP] punit, sur plainte, celui qui, par négligence, aura fait subir à une personne une atteinte à l'intégrité corporelle ou à la santé. Cette disposition suppose la réalisation de trois conditions : une négligence, une atteinte à l'intégrité physique et un lien de causalité naturelle et adéquate entre ces deux éléments. 3.2.2.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3.2.3.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(ATF 134 IV 255 consid. 4.2.3; arrêt du Tribunal fédéral 6B_1063/2013 du 2 septembre 2014 consid. 3.2). 3.2.4. L'infraction de lésions corporelles par négligence suppose en règle générale un comportement actif. Elle peut toutefois aussi être réalisée par le fait d'un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w:t>
      </w:r>
    </w:p>
    <w:p>
      <w:r>
        <w:t>- 8/12 - P/4958/2021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134 IV 255 consid. 4.2.1; arrêts du Tribunal fédéral 6B_244/2019 du 10 avril 2019 consid. 3.1; 6B_315/2016 du 1er novembre 2016 consid. 4.1; 6B_614/2014 du 1er décembre 2014 consid. 1). 3.2.5. La violation fautive d'un devoir de prudence doit avoir été la cause naturelle et adéquate des lésions subies par la victime (ATF 133 IV 158 consid. 6; 129 IV 119 consid. 2.4). Un comportement est la cause naturelle d'un résultat s'il en constitue l'une des conditions sine qua non, c'est-à-dire si, sans lui, le résultat ne s'était pas produit; il s'agit là d'une question de fait (ATF 133 IV 158 consid. 6.1; 125 IV 195 consid. 2b). Il en est la cause adéquate lorsque, d'après le cours ordinaire des choses et l'expérience de la vie, il est propre à entraîner un résultat du genre de celui qui s'est produit (ATF 133 IV 158 consid. 6.1;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135 IV 56 consid. 2.1; 134 IV 255 consid. 4.4.2; arrêts du Tribunal fédéral 6B_315/2016 du 1er novembre 2016 consid. 5 et 6B_466/2016 du 23 mars 2017). 3.3.1. En l'espèce, il est constant que, le 31 mai 2018, alors qu'elle cheminait normalement sur le trottoir, la recourante a marché sur la grille d'un saut-de-loup, laquelle, légèrement déplacée, a basculé sous son poids, ce qui a entraîné sa chute dans un trou et lui a occasionné, à tout le moins, des lésions corporelles simples, plainte pénale ayant été déposée en temps utile. Il est également établi que cet accident a été directement causé par un acte de la dénommée E______, laquelle avait, peu avant le passage de la recourante, soulevé et déplacé la grille en question, avant de quitter les lieux sans vérifier que celle-ci fût correctement replacée.</w:t>
      </w:r>
    </w:p>
    <w:p>
      <w:r>
        <w:t>- 9/12 - P/4958/2021 3.3.2. La recourante fait grief au Ministère public de ne pas avoir considéré que l'omission de la Ville de Genève ainsi que de B______ et C______ de bloquer la grille en question avaient contribué à la survenance de l'évènement, et des lésions corporelles subies. Aucun élément ne permet toutefois de retenir que les mis en cause auraient violé fautivement un devoir de prudence. En effet, il résulte des investigations complètes menées par le Ministère public qu'il n'existait alors pas de réglementation spécifique pour les grilles servant à la ventilation des sous-sols et que la grille en question ne faisait l'objet d'aucun défaut (supra, let. B.h). Les mis en cause n'ont donc pas violé de règles ni n'ont enfreint un devoir de prudence. En tout état de cause, l'omission éventuelle de B______ et C______ ou de la Ville de Genève de ne pas avoir précédemment bloqué la grille ne saurait vraisemblablement être assimilée au comportement actif de E______ de l'avoir déplacée sans aucun motif digne de protection. 3.3.3. Sous l'angle de la causalité adéquate, l'acte de E______ n'était pas prévisible, le Juge des mineurs ayant du reste relevé que son jeune âge ne l'empêchait pas de se rendre compte du danger créé. Constituant la cause la plus immédiate de l'accident, le comportement de la précitée a effectivement relégué à l'arrière-plan le fait que la grille n'était pas bloquée. 3.3.4. Il s'ensuit qu'un acquittement des mis en cause apparaît bien plus vraisemblable que leur condamnation, les éléments constitutifs de l'art. 125 CP n'étant a priori pas réunis en ce qui les concerne. 3.3.5. Compte tenu de ce qui précède, les auditions sollicitées par la recourante ne sont pas utiles, celles-ci, ni aucune autre mesure d'instruction, n'apparaissant propre à modifier l'appréciation exposée ci-avant (art. 139 al. 2 CPP).</w:t>
      </w:r>
    </w:p>
    <w:p>
      <w:r>
        <w:rPr>
          <w:b/>
        </w:rPr>
        <w:t>E. 4</w:t>
      </w:r>
    </w:p>
    <w:p>
      <w:r>
        <w:t>Justifiée, l'ordonnance querellée sera donc confirmée.</w:t>
      </w:r>
    </w:p>
    <w:p>
      <w:r>
        <w:rPr>
          <w:b/>
        </w:rPr>
        <w:t>E. 5</w:t>
      </w:r>
    </w:p>
    <w:p>
      <w:r>
        <w:t>La recourante sollicite l'assistance judiciaire pour le recours.</w:t>
      </w:r>
    </w:p>
    <w:p>
      <w:r>
        <w:rPr>
          <w:b/>
        </w:rPr>
        <w:t>E. 5.1</w:t>
      </w:r>
    </w:p>
    <w:p>
      <w:r>
        <w:t>L'assistance judiciaire ne peut être accordée qu'à la condition que la démarche à entreprendre et l'action pénale ne soient pas vouées à l'échec, comme le prévoient les art. 29 al. 3 Cst. et 136 al.1 let. b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129 I 129 consid. 2.2).</w:t>
      </w:r>
    </w:p>
    <w:p>
      <w:r>
        <w:t>- 10/12 - P/4958/2021</w:t>
      </w:r>
    </w:p>
    <w:p>
      <w:r>
        <w:rPr>
          <w:b/>
        </w:rPr>
        <w:t>E. 5.2</w:t>
      </w:r>
    </w:p>
    <w:p>
      <w:r>
        <w:t>En l'espèce, compte tenu de l'issue du recours, celui-ci était manifestement voué à l'échec, de sorte qu'il n'y a pas lieu d'entrer en matière sur la requête d'assistance judiciaire.</w:t>
      </w:r>
    </w:p>
    <w:p>
      <w:r>
        <w:rPr>
          <w:b/>
        </w:rPr>
        <w:t>E. 6</w:t>
      </w:r>
    </w:p>
    <w:p>
      <w:r>
        <w:t>La recourante, qui succombe, supportera les frais envers l'État, qui seront fixés à CHF 800.- (art. 428 al. 1 CPP et 13 al. 1 du Règlement fixant le tarif des frais en matière pénale, RTFMP; E 4 10.03) pour tenir compte de sa situation financière.</w:t>
      </w:r>
    </w:p>
    <w:p>
      <w:r>
        <w:t>* * * * *</w:t>
      </w:r>
    </w:p>
    <w:p>
      <w:r>
        <w:t>- 11/12 - P/4958/2021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