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ACPR/782/2020 vom 4. November 2020</w:t>
      </w:r>
    </w:p>
    <w:p>
      <w:r>
        <w:t>GE Cour de justice, 2020-11-04, FR</w:t>
      </w:r>
    </w:p>
    <w:p>
      <w:r>
        <w:rPr>
          <w:b/>
        </w:rPr>
        <w:t xml:space="preserve">Quelle: </w:t>
      </w:r>
      <w:r>
        <w:t>https://mcp.opencaselaw.ch/entscheid/ge_gerichte_ACPR_782_2020</w:t>
      </w:r>
    </w:p>
    <w:p>
      <w:r>
        <w:t>FR: GE_GERICHTE ACPR/782/2020 du 4 novembre 2020</w:t>
      </w:r>
    </w:p>
    <w:p>
      <w:r>
        <w:t>IT: GE_GERICHTE ACPR/782/2020 del 4 novembre 2020</w:t>
      </w:r>
    </w:p>
    <w:p>
      <w:pPr>
        <w:pStyle w:val="Heading2"/>
      </w:pPr>
      <w:r>
        <w:t>Erwägungen</w:t>
      </w:r>
    </w:p>
    <w:p>
      <w:r>
        <w:rPr>
          <w:b/>
        </w:rPr>
        <w:t>E. 1</w:t>
      </w:r>
    </w:p>
    <w:p>
      <w:r>
        <w:t>Le recours, qui n'est soumis à aucun délai (art. 396 al. 2 CPP), a été déposé selon la forme requise (art. 385 al. 1 CPP) et émane du prévenu, partie à la procédure (art. 104 al. 1 let. a CPP), qui dispose d'un intérêt juridiquement protégé à recourir (art. 382 al. 1 CPP).</w:t>
      </w:r>
    </w:p>
    <w:p>
      <w:r>
        <w:rPr>
          <w:b/>
        </w:rPr>
        <w:t>E. 2.1</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w:t>
      </w:r>
    </w:p>
    <w:p>
      <w:r>
        <w:t>- 5/7 - P/478/2019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2.2</w:t>
      </w:r>
    </w:p>
    <w:p>
      <w:r>
        <w:t>En l'espèce, depuis le dépôt de la plainte, le recourant est régulièrement intervenu pour relancer le Ministère public depuis janvier 2019, par téléphones et par courriers, allant jusqu'à déposer un recours pour inactivité auprès de la Chambre de céans, qu'il a retiré à la suite de l'envoi de la procédure à la police en décembre 2019. Vingt-deux mois se sont, ainsi, écoulés sans activité du Procureur – mis à part ce mandat d'acte d'enquête qui semble avoir été de circonstance, onze mois après le dépôt de plainte –; aucun acte ni décision n'a été prononcé, et ce pas non plus depuis fin février 2020. En effet, depuis le retour du dossier, dont l'envoi à la police s'est révélé inutile, le Procureur, bien que relancé, aurait informé le conseil du recourant, en juin 2020, qu'il rendrait une ordonnance de non-entrée en matière et de refus de donner suite au séquestre conservatoire. Que le Procureur ait succédé à un autre magistrat n'intervient pas dans l'appréciation des délais pris par le Ministère public, en tant qu'autorité pénale une et indivisible (ACPR/491/2014), à instruire une procédure. Si l'épidémie de la COVID-19 a, durant deux mois environ à compter de mi-mars 2020, ralenti, voire mis à l'arrêt, les procédures sans prévenu détenu, la décision promise en juin 2020 par le Procureur n'a toujours pas été rendue. Il résulte de ce qui précède que le principe de la célérité a été violé, et que l'instruction, qui n'a pas connu d'actes depuis janvier 2019 – sous réserve de deux mois excusables –, doit désormais être menée sans relâche et pour cela, un délai au 30 novembre 2020 sera imparti au Ministère public.</w:t>
      </w:r>
    </w:p>
    <w:p>
      <w:r>
        <w:t>- 6/7 - P/478/2019</w:t>
      </w:r>
    </w:p>
    <w:p>
      <w:r>
        <w:rPr>
          <w:b/>
        </w:rPr>
        <w:t>E. 3</w:t>
      </w:r>
    </w:p>
    <w:p>
      <w:r>
        <w:t>Les frais seront laissés à la charge de l'État.</w:t>
      </w:r>
    </w:p>
    <w:p>
      <w:r>
        <w:rPr>
          <w:b/>
        </w:rPr>
        <w:t>E. 4</w:t>
      </w:r>
    </w:p>
    <w:p>
      <w:r>
        <w:t>Le recourant, qui a gain de cause, chiffre son indemnité à CHF 5'500.- couvrant le temps consacré au premier recours du 17 décembre 2019 et celui faisant l'objet de la décision ici attaquée ainsi que les appels téléphoniques et courrier de relance au Ministère public. À l'évidence, seul le temps consacré pour la procédure de recours sera indemnisé par le Chambre de céans. Une indemnisation de CHF 2'000.- pour le recours apparaît raisonnable, au tarif admis par la Cour pénale, qui est de CHF 450.- /h. au maximum pour un chef d'étude (cf. ACPR/109/2020 du 7 février 2020 et les références). La TVA n'est pas due, en raison du domicile à l'étranger du recourant (ATF 141 IV 344). * * * * *</w:t>
      </w:r>
    </w:p>
    <w:p>
      <w:r>
        <w:t>- 7/7 - P/478/2019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