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ACPR/780/2024 vom 13. September 2024</w:t>
      </w:r>
    </w:p>
    <w:p>
      <w:r>
        <w:t>GE Cour de justice, 2024-09-13, FR</w:t>
      </w:r>
    </w:p>
    <w:p>
      <w:r>
        <w:rPr>
          <w:b/>
        </w:rPr>
        <w:t xml:space="preserve">Quelle: </w:t>
      </w:r>
      <w:r>
        <w:t>https://mcp.opencaselaw.ch/entscheid/ge_gerichte_ACPR_780_2024</w:t>
      </w:r>
    </w:p>
    <w:p>
      <w:r>
        <w:t>FR: GE_GERICHTE ACPR/780/2024 du 13 septembre 2024</w:t>
      </w:r>
    </w:p>
    <w:p>
      <w:r>
        <w:t>IT: GE_GERICHTE ACPR/780/2024 del 13 settembre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L'art. 29 CPP règle le principe de l'unité de la procédure pénale. Il prévoit qu'il y a lieu de poursuivre et juger, en une seule et même procédure, l'ensemble des infractions reprochées à un même prévenu. Le principe de l'unité de la procédure tend à éviter les jugements contradictoires et sert l'économie de la procédure (ATF 138 IV 29 consid. 3.2; ATF 138 IV 214 consid. 3.2; arrêt du Tribunal fédéral 1B_428/2018 du 7 novembre 2018 consid. 3.2).</w:t>
      </w:r>
    </w:p>
    <w:p>
      <w:r>
        <w:rPr>
          <w:b/>
        </w:rPr>
        <w:t>E. 3.2</w:t>
      </w:r>
    </w:p>
    <w:p>
      <w:r>
        <w:t>L'art. 30 CPP prévoit la possibilité de déroger au principe de l'unité de la procédure. Une telle dérogation exige toutefois des raisons objectives, ce qui exclut de se fonder, par exemple, sur de simples motifs de commodité (Y. JEANNERET / A. KUHN / C. PERRIER DEPEURSINGE (éds), Commentaire romand : Code de procédure pénale suisse, 2ème éd., Bâle 2019, n. 2 ad art. 30). La disjonction des causes en vertu de l'art. 30 CP doit cependant rester l'exception et l'unité de la procédure la règle, dans un but d'économie de procédure, d'une part, mais aussi afin de prévenir le prononcé de décisions contraires, d'autre part. Ainsi, le Tribunal fédéral a considéré qu'en vertu du principe de l'unité de procédure, le ministère public était tenu de joindre des procédures à l'encontre du même prévenu quand bien même la nature des infractions était fort différente, en l'occurrence des violences domestiques et une escroquerie (ATF 138 IV 214 consid. 3.6 et 3.7). Des procédures pourront être disjointes, par exemple, lorsque plusieurs faits sont reprochés à un auteur et que seule une partie de ceux-ci est en état d'être jugée, la prescription s'approchant (ATF 138 IV 214 consid. 3.2). Elles pourront également</w:t>
      </w:r>
    </w:p>
    <w:p>
      <w:r>
        <w:t>- 5/8 - P/20359/2021 l'être en présence de difficultés liées à un grand nombre de coauteurs dont certains seraient introuvables, lorsqu'une longue procédure d'extradition est mise en œuvre ou encore en cas de violation du principe de la célérité (arrêts du Tribunal fédéral 1B_230/2019 du 8 octobre 2019 consid. 3.4; 1B_428/2018 du 7 novembre 2018 consid. 3.2). Des raisons d'organisation des autorités de poursuite pénale ne suffisent pas (ATF 138 IV 214 consid. 3.2).</w:t>
      </w:r>
    </w:p>
    <w:p>
      <w:r>
        <w:rPr>
          <w:b/>
        </w:rPr>
        <w:t>E. 3.3</w:t>
      </w:r>
    </w:p>
    <w:p>
      <w:r>
        <w:t>En l'espèce, le recourant est prévenu dans les deux procédures concernées. Conformément au principe de l'unité de la procédure, ces faits – et les infractions qui y sont associées – doivent donc en principe être poursuivis conjointement, quand bien même ils sont de nature différente. C'est ce même principe, ajouté à celui d'économie de la procédure, qui a du reste guidé le Ministère public lorsqu'il a décidé d'ordonner, dans chacune des procédures P/20359/2021 et P/20582/2021, l'expertise psychiatrique du prévenu, laquelle a été confiée aux mêmes experts et devait appréhender les deux complexes de faits en résultant. Bien que l'instruction de la P/20582/2021 apparaisse plus avancée selon le recourant, il n'est pas exclu que d'autres actes d'enquête – que l'expertise [rendue le 7 octobre 2024] et l'éventuelle audition des experts – soient sollicités dans celle-ci. Que le statut procédural de D______ ne soit pas identique dans les deux procédures ne saurait en outre faire obstacle à la jonction de celles-ci. Le recourant ne s'est nullement opposé à l'audition de la précitée comme témoin dans la P/20359/2021 alors qu'il avait été averti, au début de sa première audition, le 5 décembre 2023, que seraient versées à la procédure ses déclarations à la police comme plaignante dans la P/20582/2021. Par la suite, le Ministère public a encore versé à la P/20359/2021 d'autres actes de procédure issus de la P/20582/2021, sans susciter la moindre réaction du recourant. Le fait que le Ministère public ait procédé de la sorte dans un premier temps, par économie de procédure, ne signifie pas qu'une jonction ne pouvait plus intervenir ultérieurement. Ensuite, tant la partie plaignante entendue à titre de renseignements que le témoin sont tenus de déposer (art. 180 al. 2, 181 al. 1 et 177 al. 1 CPP). La première sera incitée à dire la vérité tandis que la personne entendue comme témoin y sera exhortée (art. 177 al. 1 CPP). Si la partie plaignante n'est certes pas obligée de dire la vérité, elle demeure punissable si elle accuse sciemment un innocent, ce à quoi elle sera rendue attentive (art. 181 al. 2 CPP; cf. aussi Y. JEANNERET / A. KUHN / C. PERRIER DEPEURSINGE, Commentaire romand du Code de procédure pénale, 2ème éd., Bâle 2019, n. 7a et 8 ad art. 181). Partant, on ne décèle pas quelle incidence concrète aurait la jonction querellée sur les obligations de témoigner, respectivement de déposer, de D______.</w:t>
      </w:r>
    </w:p>
    <w:p>
      <w:r>
        <w:t>- 6/8 - P/20359/2021 Par ailleurs, on ne voit pas en quoi le traitement plus rapide de la P/20582/2021, et par là la reprise de l'instruction de la plainte pour dénonciation calomnieuse et induction de la justice en erreur actuellement suspendue (P/1______/2024), aurait une incidence sur le témoignage de D______ dans la P/20359/2021. Même si les soupçons de commission de ces infractions devaient se révéler fonder, il appartiendra au juge du fond saisi de la P/20359/2021 d'apprécier la crédibilité des déclarations de l'intéressée. Que le Ministère public ait marqué sa circonspection à l'occasion d'une réponse de la précitée à une question du conseil du recourant à l'audience du 1er mars 2024 (cf. PP 50'327) n'est donc pas déterminant à ce stade. Enfin, la jonction critiquée n’entraîne pas par elle-même d'accès aux informations relevant de la sphère privée et familiale du recourant par la partie plaignante constituée dans la P/20582/2021, car les conditions de consultation d’un dossier pénal en cours sont régies par des normes spécifiques et distinctes (cf. art. 101, 102 al. 1 et 108 CPP; ACPR/628/2021 du 23 septembre 2021 consid. 2.2). Il résulte de ce qui précède que la jonction querellée est conforme aux réquisits des art. 29 et 30 CPP et sera confirmée.</w:t>
      </w:r>
    </w:p>
    <w:p>
      <w:r>
        <w:rPr>
          <w:b/>
        </w:rPr>
        <w:t>E. 4</w:t>
      </w:r>
    </w:p>
    <w:p>
      <w:r>
        <w:t>Le recours est donc rejeté, ce que la Chambre de céans pouvait constater d'emblée sans échange d'écritures, ni débats (art. 390 al. 2 et 5 a contrario CPP).</w:t>
      </w:r>
    </w:p>
    <w:p>
      <w:r>
        <w:rPr>
          <w:b/>
        </w:rPr>
        <w:t>E. 5</w:t>
      </w:r>
    </w:p>
    <w:p>
      <w:r>
        <w:t>Le recourant, qui succombe, supportera les frais envers l'État, qui comprennent un émolument de CHF 1'000.- (art. 428 al. 1 CPP et 13 al. 1 du Règlement fixant le tarif des frais en matière pénale, RTFMP ; E 4 10.03). * * * * *</w:t>
      </w:r>
    </w:p>
    <w:p>
      <w:r>
        <w:t>- 7/8 - P/20359/2021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