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ACPR/780/2022 vom 9. Juni 2022</w:t>
      </w:r>
    </w:p>
    <w:p>
      <w:r>
        <w:t>GE Cour de justice, 2022-06-09, FR</w:t>
      </w:r>
    </w:p>
    <w:p>
      <w:r>
        <w:rPr>
          <w:b/>
        </w:rPr>
        <w:t xml:space="preserve">Quelle: </w:t>
      </w:r>
      <w:r>
        <w:t>https://mcp.opencaselaw.ch/entscheid/ge_gerichte_ACPR_780_2022</w:t>
      </w:r>
    </w:p>
    <w:p>
      <w:r>
        <w:t>FR: GE_GERICHTE ACPR/780/2022 du 9 juin 2022</w:t>
      </w:r>
    </w:p>
    <w:p>
      <w:r>
        <w:t>IT: GE_GERICHTE ACPR/780/2022 del 9 giugno 2022</w:t>
      </w:r>
    </w:p>
    <w:p>
      <w:pPr>
        <w:pStyle w:val="Heading2"/>
      </w:pPr>
      <w:r>
        <w:t>Erwägungen</w:t>
      </w:r>
    </w:p>
    <w:p>
      <w:r>
        <w:rPr>
          <w:b/>
        </w:rPr>
        <w:t>E. 1</w:t>
      </w:r>
    </w:p>
    <w:p>
      <w:r>
        <w:t>Le recours est recevable pour avoir été déposé selon la forme et dans le délai prescrits (art. 385 al. 1, 396 al. 1 et 90 al. 2 CPP), concerner des points d'une ordonnance de classement sujets à recours auprès de la Chambre de céans (art. 322 al. 2,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critique le refus du Ministère public de lui allouer diverses indemnités.</w:t>
      </w:r>
    </w:p>
    <w:p>
      <w:r>
        <w:rPr>
          <w:b/>
        </w:rPr>
        <w:t>E. 2.1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w:t>
      </w:r>
    </w:p>
    <w:p>
      <w:r>
        <w:rPr>
          <w:b/>
        </w:rPr>
        <w:t>E. 2.1.1</w:t>
      </w:r>
    </w:p>
    <w:p>
      <w:r>
        <w:t>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w:t>
      </w:r>
    </w:p>
    <w:p>
      <w:r>
        <w:rPr>
          <w:b/>
        </w:rPr>
        <w:t>E. 2.1.2</w:t>
      </w:r>
    </w:p>
    <w:p>
      <w:r>
        <w:t>Le rapport de causalité adéquate est interrompu lorsqu’en sus d’une cause en elle-même adéquate une autre cause survient, laquelle produit un tel effet que la première ne paraît plus, après examen, juridiquement pertinente. L’intensité des deux causes est déterminante (ATF 130 III 182, c. 5.4 p. 188 avec les références citées.). Le comportement d’un tiers n’est propre à rompre le lien de causalité adéquate que si la cause additionnelle s’écarte du cours normal des choses ou est absurde au point que l’on ne pouvait compter avec sa survenance (ATF 116 II 519 consid. 4b p. 524).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w:t>
      </w:r>
    </w:p>
    <w:p>
      <w:r>
        <w:t>- 5/9 - P/17345/2020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est justifié (ATF 142 IV 237 consid. 1.5.3 p. 245; ACPR/604/2022 du 29 août 2022 consid. 4.1).</w:t>
      </w:r>
    </w:p>
    <w:p>
      <w:r>
        <w:rPr>
          <w:b/>
        </w:rPr>
        <w:t>E. 2.2</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non publié aux ATF 142 IV 163 et les références citées).</w:t>
      </w:r>
    </w:p>
    <w:p>
      <w:r>
        <w:rPr>
          <w:b/>
        </w:rPr>
        <w:t>E. 2.3</w:t>
      </w:r>
    </w:p>
    <w:p>
      <w:r>
        <w:t>Selon l'art. 429 al. 1 let. c CPP, si le prévenu bénéficie d'une ordonnance de classement, il a droit à une réparation du tort moral subi en raison d'une atteinte particulièrement grave à sa personnalité, notamment en cas de privation de liberté.</w:t>
      </w:r>
    </w:p>
    <w:p>
      <w:r>
        <w:rPr>
          <w:b/>
        </w:rPr>
        <w:t>E. 2.3.1</w:t>
      </w:r>
    </w:p>
    <w:p>
      <w:r>
        <w:t>L'intensité de l'atteinte à la personnalité doit être analogue à celle requise dans le contexte de l'art. 49 CO (ATF 143 IV 339 consid. 3.1 p. 342; arrêts du Tribunal fédéral 6B_740/2016 du 2 juin 2017 consid. 3.2 ; 6B_928/2014 du 10 mars 2016 consid. 5.1, non publié in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6B_740/2016 du 2 juin 2017 consid. 3.2).</w:t>
      </w:r>
    </w:p>
    <w:p>
      <w:r>
        <w:rPr>
          <w:b/>
        </w:rPr>
        <w:t>E. 2.3.2</w:t>
      </w:r>
    </w:p>
    <w:p>
      <w:r>
        <w:t>La preuve de l'existence du dommage, son ampleur et sa relation de causalité adéquate avec la poursuite pénale introduite à tort incombent au requérant (ATF 135</w:t>
      </w:r>
    </w:p>
    <w:p>
      <w:r>
        <w:t>- 6/9 - P/17345/2020 IV 43 consid. 4.1 p. 47; 117 IV 209 consid. 4b p. 218; arrêt du Tribunal fédéral 6B_596/2007 du 11 mars 2008 consid. 2.2).</w:t>
      </w:r>
    </w:p>
    <w:p>
      <w:r>
        <w:rPr>
          <w:b/>
        </w:rPr>
        <w:t>E. 2.4</w:t>
      </w:r>
    </w:p>
    <w:p>
      <w:r>
        <w:t>En l'espèce, la coïncidence temporelle entre l'interpellation du recourant sur son lieu de travail et la notification de son licenciement – que le congé soit avec effet immédiat ou non – laisse supposer, comme il le soutient, que le premier évènement serait la cause du second. Le lien de causalité naturelle peut sembler dès lors donné. En raison de ce licenciement, il a subi un dommage économique, ce que le Ministère public ne conteste pas. Malgré cela, le recourant ne peut prétendre à une indemnisation de ce dommage par l'État. Dans l'hypothèse où l'arrestation du recourant et les soupçons communiqués à son employeur consacrent effectivement les motifs du congé, ce dernier a pris la décision de résilier aussitôt les rapports de travail. Le recourant bénéficiait pourtant encore pleinement de la présomption d'innocence (art. 10 al. 1 CPP), raison pour laquelle il est erroné de dire que cette manière de procéder suit le cours ordinaire des choses (cf. ATF 142 IV 237 consid. 1.5.3 p. 245). L'employeur a ainsi pris le risque que le licenciement s'avère injustifié ou abusif – l'examen d'une telle question relevant des juridictions civiles – dans le cas où, comme en l'occurrence, son employé devait être par la suite acquitté de tout soupçon. Dans une telle éventualité, le dommage économique subi par le recourant serait imputable à la faute de son employeur. Partant, suivant la jurisprudence fédérale – pleinement applicable, nonobstant les circonstances de l'interpellation – il faut constater que l'employeur a interrompu le lien de causalité adéquate en prononçant le licenciement du recourant sans attendre de connaître l'issue de la procédure pénale.</w:t>
      </w:r>
    </w:p>
    <w:p>
      <w:r>
        <w:rPr>
          <w:b/>
        </w:rPr>
        <w:t>E. 2.5</w:t>
      </w:r>
    </w:p>
    <w:p>
      <w:r>
        <w:t>Il n'est pas remis en cause que les accusations portées contre le recourant et le déroulement de son interpellation, sur son lieu de travail, ont dû l'affecter. Cela étant, ces désagréments n'apparaissent pas comme excédant ceux inhérents à toute instruction pénale. Une arrestation sur le lieu de travail ne relève pas de l'extraordinaire et l'usage de menottes pouvait se justifier compte tenu des soupçons qui pesaient alors sur le recourant et des perquisitions à effectuer. S'il est possible, comme discuté ci-avant, que son interpellation ait pu entraîner son licenciement, cela est imputable à son employeur et non pas à la procédure. Enfin, la durée de l'instruction ne lui a pas porté de préjudice particulier, étant précisé que les mesures de substitution l'empêchant de travailler dans le domaine de la sécurité ont été levées six mois après leur instauration, durée qui n'apparait pas disproportionnée face aux soupçons qui pesaient sur lui. En tout état, le recourant n'a apporté aucune preuve concrète permettant d'établir une atteinte particulière à sa personne découlant de la procédure, comme il est pourtant</w:t>
      </w:r>
    </w:p>
    <w:p>
      <w:r>
        <w:t>- 7/9 - P/17345/2020 tenu de le faire. Concernant son avenir professionnel, il n'a produit aucune pièce permettant d'établir des refus d'engagement, ni même qu'il chercherait activement un emploi. Ses affirmations selon lesquelles le déroulement de son arrestation l'empêcherait de trouver un travail apparaissent ainsi purement conjecturales. En définitive, le seul tort moral au sens de l'art. 429 al. 1 let. c CPP susceptible d'être pris en compte – à savoir celui lié à sa détention de deux jours – a d'ores et déjà été valablement indemnisé à hauteur de CHF 400.-.</w:t>
      </w:r>
    </w:p>
    <w:p>
      <w:r>
        <w:rPr>
          <w:b/>
        </w:rPr>
        <w:t>E. 3</w:t>
      </w:r>
    </w:p>
    <w:p>
      <w:r>
        <w:t>Au vu de ce qui précède, le recours s'avère infondé et sera, partant, rejeté.</w:t>
      </w:r>
    </w:p>
    <w:p>
      <w:r>
        <w:rPr>
          <w:b/>
        </w:rPr>
        <w:t>E. 4</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La procédure étant close (art. 135 al. 2 CPP), il convient de fixer l'indemnisation de l'avocat d'office pour la procédure de recours.</w:t>
      </w:r>
    </w:p>
    <w:p>
      <w:r>
        <w:rPr>
          <w:b/>
        </w:rPr>
        <w:t>E. 5.1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il ressort de l'état de frais produit par le conseil du recourant que 4h30 auraient été consacrées à la rédaction du recours, 45 minutes à l'étude du dossier et 1 heure pour un entretien avec le client. Ces durées apparaissent excessives. Le recours, de dix pages (dont une consacrée à la page de garde et une autre aux conclusions), comprend des redites factuelles sans pertinence pour la cause. L'étude du dossier n'apparaît pas nécessaire au conseil qui suit le recourant depuis le début de la procédure, de même qu'un entretien d'une heure pour discuter d'aspects qui ne touchent plus au fond de la cause. Ainsi, seules 4 heures d'activité globales, au tarif horaire de CHF 200.-, apparaissent adéquates et seront rémunérées. L'indemnité sera dès lors arrêtée à CHF 861.60, TVA à 7.7% incluse. * * * * *</w:t>
      </w:r>
    </w:p>
    <w:p>
      <w:r>
        <w:t>- 8/9 - P/17345/2020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