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ACPR/780/2021 vom 1. Oktober 2021</w:t>
      </w:r>
    </w:p>
    <w:p>
      <w:r>
        <w:t>GE Cour de justice, 2021-10-01, FR</w:t>
      </w:r>
    </w:p>
    <w:p>
      <w:r>
        <w:rPr>
          <w:b/>
        </w:rPr>
        <w:t xml:space="preserve">Quelle: </w:t>
      </w:r>
      <w:r>
        <w:t>https://mcp.opencaselaw.ch/entscheid/ge_gerichte_ACPR_780_2021</w:t>
      </w:r>
    </w:p>
    <w:p>
      <w:r>
        <w:t>FR: GE_GERICHTE ACPR/780/2021 du 1 octobre 2021</w:t>
      </w:r>
    </w:p>
    <w:p>
      <w:r>
        <w:t>IT: GE_GERICHTE ACPR/780/2021 del 1 ottobre 2021</w:t>
      </w:r>
    </w:p>
    <w:p>
      <w:pPr>
        <w:pStyle w:val="Heading2"/>
      </w:pPr>
      <w:r>
        <w:t>Erwägungen</w:t>
      </w:r>
    </w:p>
    <w:p>
      <w:r>
        <w:rPr>
          <w:b/>
        </w:rPr>
        <w:t>E. 1</w:t>
      </w:r>
    </w:p>
    <w:p>
      <w:r>
        <w:t>Le recours est recevable pour avoir été déposé dans le délai et la forme prescrits (art. 90 al. 2, 396 al. 1 et 385 al. 1 CPP), concerner une décision du Tribunal de police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 Cette disposition est applicable aux ordonnances pénales prononcées par le service des Contraventions (art. 357 al. 1 et 2 CPP).</w:t>
      </w:r>
    </w:p>
    <w:p>
      <w:r>
        <w:rPr>
          <w:b/>
        </w:rPr>
        <w:t>E. 3.2</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 Cette norme constitue ainsi une règle spéciale par rapport à l'art. 336 CPP, qui régit les débats de première instance et rend, en cas d'absence injustifiée, la procédure par défaut applicable (art. 336 al. 4 CPP) (arrêt du Tribunal fédéral 6B_289/2013 du</w:t>
      </w:r>
    </w:p>
    <w:p>
      <w:r>
        <w:rPr>
          <w:b/>
        </w:rPr>
        <w:t>E. 3.3</w:t>
      </w:r>
    </w:p>
    <w:p>
      <w:r>
        <w:t>L'art. 356 al. 4 CPP ne définit pas à quelles conditions un empêchement peut être considéré comme excusé ou non. Conformément à l'art. 94 al. 1 CPP, applicable par analogie, une partie peut demander la restitution du délai si elle a été empêchée de</w:t>
      </w:r>
    </w:p>
    <w:p>
      <w:r>
        <w:t>- 4/6 - P/12887/2021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Comme motifs d’excuse valable, la doctrine mentionne,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 C. PERRIER DEPEURSINGE (éds), Commentaire romand : Code de procédure pénale suisse, 2ème éd., Bâle 2019, n. 4 ad art. 205 ; M. NIGGLI / M. HEER / H. WIPRÄCHTIGER, Schweizerische Strafprozessordnung / Schweizerische Jugendstrafprozessordnung, Basler Kommentar StPO/JStPO, 2ème éd., Bâle 2014, n. 6 ad art. 205).</w:t>
      </w:r>
    </w:p>
    <w:p>
      <w:r>
        <w:rPr>
          <w:b/>
        </w:rPr>
        <w:t>E. 3.4</w:t>
      </w:r>
    </w:p>
    <w:p>
      <w:r>
        <w:t>En l'espèce, à teneur du suivi de la Poste versé à la procédure, le mandat de comparution personnelle a été retiré au guichet le 14 juillet 2021. Le recourant avait donc connaissance de la date de l'audience – ce qu'il ne conteste du reste pas – mais n'a pas pris les dispositions pour s'y rendre. Pour expliquer son absence, il soutient avoir oublié l'audience, en raison de "tourments" personnels, sans autres précisions. Il ne produit cependant aucune pièce attestant de son impossibilité à y déférer, ni n'explique ce qui l'a empêché d'avertir le Tribunal de son état pour éventuellement se faire excuser, sauf à retenir qu'il a, comme il l'expose, simplement oublié ladite audience. Dans ces conditions, force est de constater que le Tribunal de police a retenu à juste titre que le recourant n'avait pas comparu, sans excuse, et a dès lors correctement appliqué la loi en jugeant que l'opposition devait être considérée comme retirée. 4. Justifiée, l'ordonnance querellée sera donc confirmée. 5. Le recourant, qui succombe, supportera les frais envers l'État, qui seront fixés en totalité à CHF 500.- (art. 428 al. 1 CPP et 13 al. 1 du Règlement fixant le tarif des frais en matière pénale, RTFMP ; E 4 10.03). * * * * *</w:t>
      </w:r>
    </w:p>
    <w:p>
      <w:r>
        <w:t>- 5/6 - P/12887/2021</w:t>
      </w:r>
    </w:p>
    <w:p>
      <w:r>
        <w:rPr>
          <w:b/>
        </w:rPr>
        <w:t>E. 6</w:t>
      </w:r>
    </w:p>
    <w:p>
      <w:r>
        <w:t>mai 2014 consid.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