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ACPR/780/2020 vom 4. Mai 2020</w:t>
      </w:r>
    </w:p>
    <w:p>
      <w:r>
        <w:t>GE Cour de justice, 2020-05-04, FR</w:t>
      </w:r>
    </w:p>
    <w:p>
      <w:r>
        <w:rPr>
          <w:b/>
        </w:rPr>
        <w:t xml:space="preserve">Quelle: </w:t>
      </w:r>
      <w:r>
        <w:t>https://mcp.opencaselaw.ch/entscheid/ge_gerichte_ACPR_780_2020</w:t>
      </w:r>
    </w:p>
    <w:p>
      <w:r>
        <w:t>FR: GE_GERICHTE ACPR/780/2020 du 4 mai 2020</w:t>
      </w:r>
    </w:p>
    <w:p>
      <w:r>
        <w:t>IT: GE_GERICHTE ACPR/780/2020 del 4 maggio 2020</w:t>
      </w:r>
    </w:p>
    <w:p>
      <w:pPr>
        <w:pStyle w:val="Heading2"/>
      </w:pPr>
      <w:r>
        <w:t>Erwägungen</w:t>
      </w:r>
    </w:p>
    <w:p>
      <w:r>
        <w:rPr>
          <w:b/>
        </w:rPr>
        <w:t>E. 1.1</w:t>
      </w:r>
    </w:p>
    <w:p>
      <w:r>
        <w:t>Le recours est recevable pour avoir été déposé selon la forme et – les formalités de notification (art. 85 al. 2 CPP) n'ayant pas été observées –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à l'appui du recours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estime qu'il existe une prévention suffisante des chefs d'escroquerie et d'abus de confiance.</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w:t>
      </w:r>
    </w:p>
    <w:p>
      <w:r>
        <w:t>- 7/13 - P/12092/2019 que les faits ne sont pas punissables (ATF 137 IV 285 consid. 2.3 et les références citées). Le principe "in dubio pro duriore" découle du principe de la légalité (art. 5 al. 1 Cst. et 2 al. 2 CPP en relation avec les art. 19 al. 1 et 324 CPP ; ATF 138 IV 86 consid. 4.2 ; arrêt du Tribunal fédéral 6B_185/2016 du 30 novembre 2016 consid. 2.1.2 et les références citées). Il signifie qu'en principe, un classement ou une non-entrée en matière ne peuvent être prononcés par le ministère public que lorsqu'il apparaît clairement que les faits ne sont pas punissables ou que les conditions à la poursuite pénale ne sont pas remplies.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9 ad art. 310 ; R. PFISTER-LIECHTI (éd.), La procédure pénale fédérale, Fondation pour la formation continue des juges suisses, Berne 2010, p. 62 ; DCPR/85/2011 du 27 avril 2011).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 citées).</w:t>
      </w:r>
    </w:p>
    <w:p>
      <w:r>
        <w:rPr>
          <w:b/>
        </w:rPr>
        <w:t>E. 3.2</w:t>
      </w:r>
    </w:p>
    <w:p>
      <w:r>
        <w:t>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(art. 146 al. 1 CP). Pour qu'il y ait escroquerie, il ne suffit pas qu'il y ait tromperie, il faut encore que celle-ci soit astucieuse. L'astuce est réalisée non seulement lorsque l'auteur recourt à un édifice de mensonges, à des manœuvres frauduleuses ou à une mise en scène,</w:t>
      </w:r>
    </w:p>
    <w:p>
      <w:r>
        <w:t>- 8/13 - P/12092/2019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133 IV 256 consid. 4.4.3; ATF 128 IV 18 consid. 3a p. 20). L'astuce n'est en revanche pas réalisée si la dupe pouvait se protéger avec un minimum d'attention ou éviter l'erreur avec le minimum de prudence que l'on pouvait attendre d'elle (ATF 135 IV 76 consid. 5.2 p. 81). De manière générale, celui qui promet une prestation sans avoir l'intention de l'exécuter agit astucieusement, parce qu'en promettant, il donne le change sur ses véritables intentions, ce que sa victime est dans l'impossibilité de vérifier (ATF 86 IV 205 = JdT 1968 IV 8; ATF 73 IV 225 = JdT 1948 IV 10). Toute tromperie sur la volonté affichée n'est cependant pas astucieuse et il est parfois possible, selon les circonstances, de découvrir que l'auteur donne le change. Dans la mesure où le simple fait de demander un crédit indique déjà en soi une gêne financière, le prêteur doit faire preuve d'une prudence particulière. L'astuce doit dès lors être niée lorsque les vérifications qui étaient faisables sans trop de difficultés auraient révélé que l'auteur n'était pas capable d'exécuter son obligation et, partant, que ses promesses ne seraient pas tenues (ATF 118 IV 359 = JdT 1994 IV 172 consid. 2, arrêt du Tribunal fédéral 6B_239/2020 du 8 juin 2020 consid 2.4; S. TRECHSEL, Schweizerisches Strafgesetzbuch, Kurzkommentar, 2ème éd., n. 9 ad art. 148 CP). Enfin, pour que le crime d'escroquerie soit consommé, l'erreur dans laquelle la tromperie astucieuse a mis ou conforté la dupe doit avoir déterminé celle-ci à accomplir un acte préjudiciable à ses intérêts pécuniaires, ou à ceux d'un tiers. L'escroquerie ne sera consommée que s'il y a un dommage (arrêt du Tribunal fédéral 6B_552/2013 du 9 janvier 2014 consid. 2.3.2).</w:t>
      </w:r>
    </w:p>
    <w:p>
      <w:r>
        <w:rPr>
          <w:b/>
        </w:rPr>
        <w:t>E. 3.3</w:t>
      </w:r>
    </w:p>
    <w:p>
      <w:r>
        <w:t>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arrêts du Tribunal fédéral 6B_613/2016 et 6B_627/2016 du 1er décembre 2016 consid. 4; 6B_635/2015 du 9 février 2016 consid. 3.1). Le comportement délictueux consiste à utiliser la valeur patrimoniale contrairement aux instructions reçues, en s'écartant de la destination fixée (ATF 129 IV 257 consid. 2.2.1 p. 259; arrêt du Tribunal fédéral 6B_356/2016 du 6 mars 2017 consid. 2.1).</w:t>
      </w:r>
    </w:p>
    <w:p>
      <w:r>
        <w:t>- 9/13 - P/12092/2019 Suivant les circonstances, des valeurs patrimoniales remises dans le contexte d'un prêt sont susceptibles d'être qualifiées de valeurs patrimoniales confiées. Il faut toutefois définir de cas en cas si le contrat de prêt à la base de leur remise comporte un devoir, à charge du bénéficiaire, d'en conserver la contre-valeur. S'agissant d'un prêt, un tel devoir fera en règle générale défaut, puisque le débiteur n'est en principe tenu que de rembourser la somme prêtée. Des fonds prêtés ne représentent d'ailleurs qu'exceptionnellement des valeurs patrimoniales appartenant à autrui. L'appartenance à autrui des valeurs patrimoniales prêtées et le devoir d'en conserver la contre-valeur (Werterhaltungspglicht) ne seront retenus que lorsque leur affectation est clairement prédéfinie, et sert dans le même temps à assurer la couverture du prêteur ou, à tout le moins, à diminuer son risque de perte. L'utilisation de l'argent prêté contrairement à sa destination convenue peut dès lors être constitutive d'un abus de confiance lorsqu'elle remet en cause cet objectif et s'avère propre à causer un dommage au prêteur (M. DUPUIS / L. MOREILLON / C. PIGUET / S. BERGER / M. MAZOU / V. RODIGARI (éds), Code pénal - Petit commentaire, 2e éd., Bale 2017, n. 35 ad. art. 138 CP). Du point de vue subjectif, l'auteur doit avoir agi intentionnellement et dans un dessein d'enrichissement illégitime ou de procurer à un tiers un enrichissement illégitime, qui peut être réalisé par un dol éventuel (ATF 133 IV 21 consid. 6.1.2 p. 27 et les références; ATF 118 IV 27 consid. 2a p. 34; arrêts du Tribunal fédéral 6B_356/2016 du 6 mars 2017 consid. 2.1; 6B_635/2019 du 9 février 2016 consid. 3.1).</w:t>
      </w:r>
    </w:p>
    <w:p>
      <w:r>
        <w:rPr>
          <w:b/>
        </w:rPr>
        <w:t>E. 3.4</w:t>
      </w:r>
    </w:p>
    <w:p>
      <w:r>
        <w:t>En l'occurrence, la recourante allègue avoir prêté des fonds à la société intimée après avoir été induite en erreur par des affirmations fallacieuses et astucieuses. À ce titre, elle remet en cause la réalité du projet de partenariat, arguant que la mise en cause lui avait fait miroiter un partenariat "exclusif" tout en sachant dès le départ qu'une telle collaboration n'aboutirait pas. S'il ressort effectivement du contrat du 23 décembre 2016 que la collaboration durable entre les parties devait se manifester par un contrat de partenariat, il n'était aucunement indiqué que le prêt était conditionné à la conclusion d'un tel contrat – la recourante ayant du reste versé l'argent promis les 10 janvier et 29 mars 2017, soit avant toute conclusion d'un quelconque partenariat –. De plus, aucune pièce au dossier ne démontre que le partenariat envisagé était exclusif, en particulier pas le contrat de prêt. Ainsi, l'existence d'un éventuel accord oral préalable en ce sens, au demeurant contesté par la mise en cause, n'est pas établie. Par ailleurs, rien ne permet de considérer que la mise en cause n’avait d’emblée pas l’intention de conclure le partenariat envisagé, puisqu'elle invoque à cet égard l’attitude de la recourante, accusée de ne pas avoir rempli ses obligations contractuelles. Or, la question de savoir si la mise en cause était en droit de refuser</w:t>
      </w:r>
    </w:p>
    <w:p>
      <w:r>
        <w:t>- 10/13 - P/12092/2019 de conclure un partenariat avec elle est un problème de nature strictement civile, qu’il n’appartient pas aux juridictions pénales de trancher. Cela est d’autant plus vrai que le contrat de prêt prévoit lui-même l'hypothèse de la résiliation du contrat de partenariat par l'emprunteur comme motif de résiliation anticipée du contrat de prêt par le prêteur et que la recourante a elle-même agi dans un premier temps devant les autorités civiles. Dans ces circonstances, rien ne permet de retenir que le projet aurait été monté de toutes pièces par la mise en cause dans le seul but de soutirer de l'argent à la recourante. Les éléments constitutifs de l’infraction d’escroquerie ne sont ainsi pas réalisés, ne serait-ce que sous l’angle de la vraisemblance, de sorte que l'ordonnance querellée ne prête pas le flanc à la critique. Aucune mesure d'instruction complémentaire ne permettrait d'arriver à une autre conclusion et la recourante n'explique pas en quoi une nouvelle audition de l'administrateur de la mise en cause serait en mesure d'apporter des éclaircissements utiles.</w:t>
      </w:r>
    </w:p>
    <w:p>
      <w:r>
        <w:rPr>
          <w:b/>
        </w:rPr>
        <w:t>E. 3.5</w:t>
      </w:r>
    </w:p>
    <w:p>
      <w:r>
        <w:t>S'agissant de l'infraction d'abus de confiance reprochée, il appert, tel que relevé par le Ministère public, que la couverture du risque de la recourante était également prévue par les contrats de fiducie, de sorte qu'une éventuelle utilisation de l'argent prêté contrairement à la destination convenue ne paraitrait pas propre à causer un dommage à la recourante. Il semble ainsi douteux, au sens de la jurisprudence précitée, que les fonds prêtés puissent être considérés comme des valeurs patrimoniales confiées au sens de l'art. 138 CP. Cette question peut cependant rester ouverte au vu des développements qui suivent. Selon les termes du contrat de prêt, la somme de CHF 3'000'000.- était destinée à l'acquisition du bien-fonds, des murs et des équipements de D______. La mise en cause soutient avoir utilisé les fonds reçus à ces fins, ce que la recourante ne conteste pas sérieusement, se contentant d'arguer qu'en cas de doute l'autorité intimée aurait dû procéder aux investigations nécessaires, sans toutefois préciser auxquelles ni avancer d'arguments en ce sens. Le fait que la recourante n’ait pas obtenu la contre- prestation convenue n’y change rien ; l’argent semble avoir été utilisé conformément à la destination prévue par les parties, D______ ayant effectivement été construite et ayant ouvert dès septembre 2018, étant rappelé que le prêt n'était aucunement conditionné à la conclusion d'un contrat de partenariat, ce que la recourante semble oublier. Dans ces conditions, il n’existe aucune prévention d’abus de confiance, les éléments constitutifs de cette infraction n’étant, à l’évidence, pas réalisés.</w:t>
      </w:r>
    </w:p>
    <w:p>
      <w:r>
        <w:t>- 11/13 - P/12092/2019 Ici également, on ne voit pas quels actes d'instruction supplémentaires seraient à même d’établir, voire de rendre vraisemblable, la réalisation d’un abus de confiance de la part de l'intimée, une nouvelle audition de G______ ne permettant, en tout état, pas de faire avancer l'enquête. Au surplus, comme relevé précédemment, tout conflit quant à l'exécution ou non d'un contrat de prêt serait de nature civile et il n'appartient dès lors pas aux autorités pénales de le régler. La confirmation de l'ordonnance querellée s'impose ainsi pour ce motif également.</w:t>
      </w:r>
    </w:p>
    <w:p>
      <w:r>
        <w:rPr>
          <w:b/>
        </w:rPr>
        <w:t>E. 4</w:t>
      </w:r>
    </w:p>
    <w:p>
      <w:r>
        <w:t>Justifiée, l'ordonnance querellée sera donc confirmée.</w:t>
      </w:r>
    </w:p>
    <w:p>
      <w:r>
        <w:rPr>
          <w:b/>
        </w:rPr>
        <w:t>E. 5</w:t>
      </w:r>
    </w:p>
    <w:p>
      <w:r>
        <w:t>La recourante, qui succombe, supportera les frais envers l'État fixés en totalité à CHF 1'500.- (art. 428 al. 1 CPP et 13 al. 1 du Règlement fixant le tarif des frais en matière pénale, RTFMP ; E 4 10.03), émolument de décision compris. * * * * *</w:t>
      </w:r>
    </w:p>
    <w:p>
      <w:r>
        <w:t>- 12/13 - P/12092/2019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