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ACPR/77/2026 vom 17. November 2025</w:t>
      </w:r>
    </w:p>
    <w:p>
      <w:r>
        <w:t>GE Cour de justice, 2025-11-17, FR</w:t>
      </w:r>
    </w:p>
    <w:p>
      <w:r>
        <w:rPr>
          <w:b/>
        </w:rPr>
        <w:t xml:space="preserve">Quelle: </w:t>
      </w:r>
      <w:r>
        <w:t>https://mcp.opencaselaw.ch/entscheid/ge_gerichte_ACPR_77_2026</w:t>
      </w:r>
    </w:p>
    <w:p>
      <w:r>
        <w:t>FR: GE_GERICHTE ACPR/77/2026 du 17 novembre 2025</w:t>
      </w:r>
    </w:p>
    <w:p>
      <w:r>
        <w:t>IT: GE_GERICHTE ACPR/77/2026 del 17 novembre 2025</w:t>
      </w:r>
    </w:p>
    <w:p>
      <w:pPr>
        <w:pStyle w:val="Heading2"/>
      </w:pPr>
      <w:r>
        <w:t>Erwägungen</w:t>
      </w:r>
    </w:p>
    <w:p>
      <w:r>
        <w:rPr>
          <w:b/>
        </w:rPr>
        <w:t>E. 1.1</w:t>
      </w:r>
    </w:p>
    <w:p>
      <w:r>
        <w:t>Sur tous les faits dénoncés au travers de sa plainte et ses – nombreux – compléments, le recourant semble dorénavant limiter ses accusations à J______ et Me M______, pour escroquerie (art. 146 CP), et à G______, J______ et O______ pour diminution effective de l'actif au préjudice des créanciers (art. 164 CP).</w:t>
      </w:r>
    </w:p>
    <w:p>
      <w:r>
        <w:rPr>
          <w:b/>
        </w:rPr>
        <w:t>E. 1.2</w:t>
      </w:r>
    </w:p>
    <w:p>
      <w:r>
        <w:t>Le premier volet apparaît toutefois nouveau. En effet, dans son recours, le recourant allègue que les deux mis en cause auraient, au travers du courrier du 5 février 2021, produit dans sa faillite personnelle une créance éteinte par la déclaration de cession de ses parts sociales de B______ SA du 10 juillet 2017. Or, dans son complément de plainte du 28 octobre 2025, le recourant soutenait toujours que cet acte de cession était nul, ce que Me M______ reconnaissait dans sa lettre, et qu'il restait actionnaire de la société. Il s'ensuit que le Ministère public ne pouvait pas statuer sur ces accusations, qui ne ressortaient pas du dossier préliminaire. À ce propos, l'ordonnance querellée ne mentionne nullement l'infraction d'escroquerie et encore moins sous l'angle de cette – nouvelle – version des faits. À défaut de décision préalable, le recours est, partant, irrecevable sur ce volet.</w:t>
      </w:r>
    </w:p>
    <w:p>
      <w:r>
        <w:rPr>
          <w:b/>
        </w:rPr>
        <w:t>E. 1.3</w:t>
      </w:r>
    </w:p>
    <w:p>
      <w:r>
        <w:t>Pour l'autre volet contesté,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 a priori – un intérêt juridiquement protégé à la modification ou à l'annulation de la décision querellée (art. 382 al. 1 CPP).</w:t>
      </w:r>
    </w:p>
    <w:p>
      <w:r>
        <w:rPr>
          <w:b/>
        </w:rPr>
        <w:t>E. 2</w:t>
      </w:r>
    </w:p>
    <w:p>
      <w:r>
        <w:t>Le recourant s'oppose à la non-entrée en matière en lien avec l'infraction de diminution effective de l'actif au préjudice des créanciers.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w:t>
      </w:r>
    </w:p>
    <w:p>
      <w:r>
        <w:t>- 8/11 - P/14359/2024 (Y. JEANNERET / A. KUHN / C. PERRIER DEPEURSINGE (éds), Commentaire romand : Code de procédure pénale suisse, 2ème éd., Bâle 2019, n. 8 ad art. 310).</w:t>
      </w:r>
    </w:p>
    <w:p>
      <w:r>
        <w:rPr>
          <w:b/>
        </w:rPr>
        <w:t>E. 2.2</w:t>
      </w:r>
    </w:p>
    <w:p>
      <w:r>
        <w:t>L'art. 164 ch. 1 CP punit, du chef de diminution effective de l'actif au préjudice des créanciers, le débiteur qui, de manière à causer un dommage à ses créanciers, diminue son actif, entre autres en cédant des valeurs patrimoniales à titre gratuit ou contre une prestation de valeur manifestement inférieure.</w:t>
      </w:r>
    </w:p>
    <w:p>
      <w:r>
        <w:rPr>
          <w:b/>
        </w:rPr>
        <w:t>E. 2.3</w:t>
      </w:r>
    </w:p>
    <w:p>
      <w:r>
        <w:t>Lorsque la qualité de débiteur échoit à une personne morale, les personnes physiques qui en sont organes sont punissables en qualité d'auteur (art. 29 let. a CP; ATF 131 IV 49 consid. 1.3.1). Cela vise tant les organes de droit que les organes de fait, soit les personnes qui exercent de facto des fonctions dirigeantes, qui ont la compétence durable de prendre des décisions excédant l'accomplissement des tâches quotidiennes, dont le pouvoir de décision apparait propre et indépendant et qui auraient ainsi été en situation d'empêcher la survenance du dommage (ATF 136 III 14 consid. 2.4; 132 III 523 consid. 4.; arrêt du Tribunal fédéral 6B_356/2016 du 6 mars 2017 consid. 2.3.2). L'assemblée générale des actionnaires n'est pas un organe de la société anonyme au sens de l'art. 29 CP (L. MOREILLON / A. MACALUSO / N. QUELOZ / N. DONGOIS (éds), Commentaire romand, Code pénal I, art. 1-110 CP, 2ème éd., Bâle 2021, n. 16 ad art. 29).</w:t>
      </w:r>
    </w:p>
    <w:p>
      <w:r>
        <w:rPr>
          <w:b/>
        </w:rPr>
        <w:t>E. 2.4</w:t>
      </w:r>
    </w:p>
    <w:p>
      <w:r>
        <w:t>En l'occurrence, le recourant, qui estime être créancier de B______ SA, reproche à trois actionnaires, soit G______, J______ et O______, de s'être transféré l'actif principal de la société, soit la participation dans C______ SÀRL et les terrains détenus par celle-ci. Tout d'abord, les mis en cause ne revêtent pas la qualité de débiteurs, ni d'organes de la société débitrice. Ils ne peuvent donc pas avoir réalisé l'infraction en cause et L______, administrateur, n'est pas mis en cause par le recourant pour ces faits. En outre, il apparaît que l'actif en question, soit les parts sociales de C______ SÀRL, n'avait plus aucune valeur en raison du classement des terrains en zone protégée. Cela a expressément été expliqué au recourant, dans un courriel du 29 mars 2022, de même qu'à l'Office des faillites dans un courrier du 4 février 2024. À ce titre, les mis en cause ont versé EUR 3.- en contrepartie des actions de C______ SÀRL. Enfin, la faillite de B______ SA n'empêchait pas le recourant de faire valoir sa créance sociale dans le cadre de celle-ci, ce qu'il n'allègue pas, ni ne démontre, avoir fait, avant que la société ne fût radiée du Registre du commerce. En définitive, rien ne permet de considérer que l'infraction visée à l'art. 164 CP serait réalisée, ni aucune autre d'ailleurs.</w:t>
      </w:r>
    </w:p>
    <w:p>
      <w:r>
        <w:rPr>
          <w:b/>
        </w:rPr>
        <w:t>E. 3</w:t>
      </w:r>
    </w:p>
    <w:p>
      <w:r>
        <w:t>Justifiée, l'ordonnance querellée sera donc confirmée. Le recours, qui s'avère irrecevable en partie et mal fondé pour le surplus, pouvait d'emblée être traité sans échange d'écritures, ni débats (art. 390 al. 2 et 5 a contrario CPP).</w:t>
      </w:r>
    </w:p>
    <w:p>
      <w:r>
        <w:t>- 9/11 - P/14359/2024</w:t>
      </w:r>
    </w:p>
    <w:p>
      <w:r>
        <w:rPr>
          <w:b/>
        </w:rPr>
        <w:t>E. 4</w:t>
      </w:r>
    </w:p>
    <w:p>
      <w:r>
        <w:t>Le recourant, qui succombe, supportera les frais envers l'État, fixés en intégralité à CHF 1'500.- (art. 428 al. 1 CPP et 13 al. 1 du Règlement fixant le tarif des frais en matière pénale, RTFMP; E 4 10.03) et qui seront prélevés sur les sûretés versées. * * * * *</w:t>
      </w:r>
    </w:p>
    <w:p>
      <w:r>
        <w:t>- 10/11 - P/14359/2024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