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ACPR/779/2020 vom 2. Oktober 2020</w:t>
      </w:r>
    </w:p>
    <w:p>
      <w:r>
        <w:t>GE Cour de justice, 2020-10-02, FR</w:t>
      </w:r>
    </w:p>
    <w:p>
      <w:r>
        <w:rPr>
          <w:b/>
        </w:rPr>
        <w:t xml:space="preserve">Quelle: </w:t>
      </w:r>
      <w:r>
        <w:t>https://mcp.opencaselaw.ch/entscheid/ge_gerichte_ACPR_779_2020</w:t>
      </w:r>
    </w:p>
    <w:p>
      <w:r>
        <w:t>FR: GE_GERICHTE ACPR/779/2020 du 2 octobre 2020</w:t>
      </w:r>
    </w:p>
    <w:p>
      <w:r>
        <w:t>IT: GE_GERICHTE ACPR/779/2020 del 2 ottobre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Celles-ci apparaissent suffisantes depuis sa mise en détention provisoire ordonnée par le TMC le 6 septembre 2020. Il n'y a donc pas lieu d'y revenir.</w:t>
      </w:r>
    </w:p>
    <w:p>
      <w:r>
        <w:rPr>
          <w:b/>
        </w:rPr>
        <w:t>E. 3</w:t>
      </w:r>
    </w:p>
    <w:p>
      <w:r>
        <w:t>Le recourant conteste le risque de fuite.</w:t>
      </w:r>
    </w:p>
    <w:p>
      <w:r>
        <w:t>- 6/10 - P/1295/2020</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 Une plongée dans la clandestinité participe au risque de fuite (cf. ATF 143 IV 160 consid. 4.3 p. 167).</w:t>
      </w:r>
    </w:p>
    <w:p>
      <w:r>
        <w:rPr>
          <w:b/>
        </w:rPr>
        <w:t>E. 3.2</w:t>
      </w:r>
    </w:p>
    <w:p>
      <w:r>
        <w:t>En l'espèce, le recourant ne conteste pas être en situation irrégulière en Suisse et n'avoir aucune attache dans ce pays. Il prétend toutefois ne pas avoir l'intention de quitter la Suisse car il avait un logement mis à sa disposition par l'Hospice général au foyer G______ et était traité en Suisse pour une maladie des yeux. Il ressort du dossier que le recourant semble vouloir persister à demeurer en Suisse, malgré une décision d'expulsion judiciaire prononcée contre lui, ne collaborant pas avec les autorités administratives fédérales chargées d'organiser son refoulement. En ce sens, peu importe qu'il dise "pointer" régulièrement à l'OCPM. Le risque qu'il disparaisse néanmoins dans la clandestinité pour échapper à la peine à laquelle il s'expose dans la présente procédure ainsi qu'à une éventuelle nouvelle décision d'expulsion – sanctions dont il a aujourd'hui connaissance à la suite de son renvoi en jugement – est toutefois très concret. Le fait qu'il soit démuni de papiers d'identité ne constitue par ailleurs pas un obstacle pour entrer dans la clandestinité ni pour franchir la frontière par voie terrestre. Sa situation personnelle et financière étant des plus précaires, on ne voit pas qu'elle l'empêcherait de fuir ou plonger dans la clandestinité. Quant à son traitement médical pour son glaucome, il consiste, à teneur de l'attestation médicale produite, en une visite "tous les 8 mois" à l'hôpital. Il ne saurait ainsi non plus constituer un frein suffisant à la fuite ou à la disparition dans la clandestinité. La mesure de substitution proposée par le recourant, à savoir se présenter tous les lundis à 10h00 à l'OCPM, n'est de toute évidence pas suffisante à éviter la fuite de l'intéressé mais ne permettrait que de la constater après coup. C'est ainsi à bon droit que le premier juge a retenu un risque de fuite.</w:t>
      </w:r>
    </w:p>
    <w:p>
      <w:r>
        <w:t>- 7/10 - P/1295/2020</w:t>
      </w:r>
    </w:p>
    <w:p>
      <w:r>
        <w:rPr>
          <w:b/>
        </w:rPr>
        <w:t>E. 4</w:t>
      </w:r>
    </w:p>
    <w:p>
      <w:r>
        <w:t>Le recourant conteste le risque de réitération.</w:t>
      </w:r>
    </w:p>
    <w:p>
      <w:r>
        <w:rPr>
          <w:b/>
        </w:rPr>
        <w:t>E. 4.1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4.2</w:t>
      </w:r>
    </w:p>
    <w:p>
      <w:r>
        <w:t>En l'occurrence, le risque que le recourant commette de nouvelles infractions reste élevé, eu égard à ses nombreux antécédents judiciaires – notamment pour des infractions au patrimoine et en matière de séjour des étrangers – et à sa situation personnelle et financière. Ce risque est encore accru par une surconsommation d'alcool, laquelle l'aurait précisément conduit à commettre des infractions. Or, malgré un sevrage à l'alcool en détention, rien n'indique que le recourant, à sa sortie, continuera d'être abstinent. Son engagement en ce sens est non seulement invérifiable mais encore fortement sujet à caution, eu égard au non-respect de ses engagements lors de sa libération conditionnelle de mai 2020 mais également à son comportement général consistant à systématiquement faire fi des décisions administratives et pénales dont il fait l'objet. Il ne saurait ainsi constituer un palliatif suffisant. La décision querellée est là également exempte de toute critique.</w:t>
      </w:r>
    </w:p>
    <w:p>
      <w:r>
        <w:t>- 8/10 - P/1295/2020</w:t>
      </w:r>
    </w:p>
    <w:p>
      <w:r>
        <w:rPr>
          <w:b/>
        </w:rPr>
        <w:t>E. 5</w:t>
      </w:r>
    </w:p>
    <w:p>
      <w:r>
        <w:t>La détention provisoire subie par le recourant en l'état et jusqu'à l'échéance de la prolongation ordonnée respecte le principe de la proportionnalité, l'intéressé étant désormais renvoyé en jugement.</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 * * * *</w:t>
      </w:r>
    </w:p>
    <w:p>
      <w:r>
        <w:t>- 9/10 - P/1295/2020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