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ACPR/778/2025 vom 28. August 2025</w:t>
      </w:r>
    </w:p>
    <w:p>
      <w:r>
        <w:t>GE Cour de justice, 2025-08-28, FR</w:t>
      </w:r>
    </w:p>
    <w:p>
      <w:r>
        <w:rPr>
          <w:b/>
        </w:rPr>
        <w:t xml:space="preserve">Quelle: </w:t>
      </w:r>
      <w:r>
        <w:t>https://mcp.opencaselaw.ch/entscheid/ge_gerichte_ACPR_778_2025</w:t>
      </w:r>
    </w:p>
    <w:p>
      <w:r>
        <w:t>FR: GE_GERICHTE ACPR/778/2025 du 28 août 2025</w:t>
      </w:r>
    </w:p>
    <w:p>
      <w:r>
        <w:t>IT: GE_GERICHTE ACPR/778/2025 del 28 agosto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Les observations du Ministère public, déposées dans le délai de 3 jours qui lui avait été fixé par la direction de la procédure, le sont également.</w:t>
      </w:r>
    </w:p>
    <w:p>
      <w:r>
        <w:rPr>
          <w:b/>
        </w:rPr>
        <w:t>E. 2</w:t>
      </w:r>
    </w:p>
    <w:p>
      <w:r>
        <w:t>S'il indique ne pas vouloir les discuter, le recourant déclare contester fermement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comme relevé par le TMC dans l'ordonnance querellée mais également dans ses précédentes décisions, les charges sont graves et suffisantes, eu égard aux plaintes et déclarations de G______, aux dénonciations du SPMI, aux décisions rendues par le TPAE, aux déclarations des enfants, aux constatations et saisies policières, aux résultats des analyses scientifiques, au rapport d'interpellation du prévenu du 13 août 2024, aux plaintes et déclarations de I______, de J______ et de K______, aux images de vidéosurveillance desquelles un cahier photographique a été tiré, au rapport de la gendarmerie du 4 septembre 2024 et aux aveux partiels du prévenu.</w:t>
      </w:r>
    </w:p>
    <w:p>
      <w:r>
        <w:t>- 9/14 - P/23643/2022</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l'existence d'un risque de fuite a été retenue de manière constante depuis le début de la procédure, y compris dans l'ordonnance du TMC du 14 juillet 2025 contre laquelle l'intéressé n'a pas recouru. Ce risque a alors été retenu sous la forme d'une disparition dans la clandestinité en Suisse ou dans un autre pays. Dans un premier argument, le recourant invoque sa situation personnelle (domicile, activité professionnelle, domicile des mère et sœur, suivi psychothérapeutique) pour nier tout risque de fuite. Il oublie cependant que ces éléments étaient déjà présents lorsque le risque de fuite a été précédemment retenu, y compris par la Chambre de céans dans son arrêt du 1er mars 2023. L'existence de son projet de vie (reconstruire un lien avec ses enfants) a, lui aussi, déjà été allégué et pris en compte dans les précédentes décisions. Le recourant a d'ailleurs montré dans le passé qu'il était prêt à partir à l'étranger pour se soustraire aux décisions civiles rendues au sujet de sa relation avec ses enfants. En réalité, le seul argument nouveau invoqué par le recourant est celui du déménagement de ses enfants et de leur mère en France voisine. Or, avec le Ministère public, on ne voit pas en quoi ce déménagement modifierait l'évaluation du risque de fuite. Au contraire, et quoiqu'en dise le recourant, ce déménagement accroit le risque qu'il ne quitte la Suisse, afin de rejoindre ses enfants dans leur nouveau pays de résidence. Une possible extradition en cas de départ à l'étranger ne change rien à l'évaluation de ce risque. Il en va de même d'une absence de statut administratif dans ce pays.</w:t>
      </w:r>
    </w:p>
    <w:p>
      <w:r>
        <w:rPr>
          <w:b/>
        </w:rPr>
        <w:t>E. 4</w:t>
      </w:r>
    </w:p>
    <w:p>
      <w:r>
        <w:t>Le recourant conteste l'existence d'un risque de récidive.</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w:t>
      </w:r>
    </w:p>
    <w:p>
      <w:r>
        <w:t>- 10/14 - P/23643/2022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L'hypothèse d'un simple risque de récidive présuppose l'existence d'une pluralité d'infractions et donc d'au moins deux infractions similaires commises antérieurement (arrêt du Tribunal fédéral 7B_1035/2024 du 19 novembre 2024 consid. 2.3.1).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t>- 11/14 - P/23643/2022</w:t>
      </w:r>
    </w:p>
    <w:p>
      <w:r>
        <w:rPr>
          <w:b/>
        </w:rPr>
        <w:t>E. 4.3</w:t>
      </w:r>
    </w:p>
    <w:p>
      <w:r>
        <w:t>En l'espèce, comme pour le risque de fuite, le risque de réitération a été retenu de manière constante à l'encontre du recourant dans les différentes décisions rendues relativement à sa détention. Le recourant tire argument, ici aussi, du déménagement des enfants et de leur mère en France voisine, pour considérer que les mesures de substitution qui lui sont imposées (interdiction de contact) qu'on lui reprochait de ne pas respecter n'auraient pas d'effet à l'étranger. C'est oublier que c'est bien le risque de réitération, concret, qui motive sa détention. Les mesures de substitution pour pallier ce risque, seront examinées infra. Enfin, l'argument portant sur les condamnations ou infractions antérieures n'est d'aucune utilité au recourant, le risque de récidive ayant été examiné et retenu non pas seulement sur la base de l'art. 221 al. 1 let c CPP, lequel n'impose pas nécessairement, comme rappelé plus haut, d'antécédents multiples, mais également sur la base de l'art. 221 al. 1bis et al. 2 CPP. Le TMC a d'ailleurs, dans son ordonnance du 14 juillet 2025, expressément rappelé le risque que le recourant ne commette à nouveau des actes de même nature que ceux faisant l'objet de la procédure, y compris des actes comportant une dimension violente pour les enfants, de même qu'un risque hétéro- agressif contre les personnes "du système".</w:t>
      </w:r>
    </w:p>
    <w:p>
      <w:r>
        <w:rPr>
          <w:b/>
        </w:rPr>
        <w:t>E. 5</w:t>
      </w:r>
    </w:p>
    <w:p>
      <w:r>
        <w:t>Le recourant soutient enfin que les éventuels risques retenus pourraient être palliés par des mesures de substitution.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l'obligation de se présenter régulièrement à un service administratif (al. 2 let. d), de se soumettre à un traitement médical ou à des contrôles (al. 2 let. f) et l'interdiction d'entretenir des relations avec certaines personnes (al. 2 let. g). La liste des mesures de substitution énoncée à l'art. 237 CPP n'est pas exhaustive (arrêt du Tribunal fédéral 1B_654/2011 du</w:t>
      </w:r>
    </w:p>
    <w:p>
      <w:r>
        <w:rPr>
          <w:b/>
        </w:rPr>
        <w:t>E. 5.2</w:t>
      </w:r>
    </w:p>
    <w:p>
      <w:r>
        <w:t>En l'espèce, les mesures proposées sont, quoi qu'en dise le recourant, similaires à celles déjà soumises au TMC et rejetées par ordonnance du 14 juillet 2025. Elles le sont également avec les mesures de substitution ordonnées par le TMC le 29 novembre 2024, lesquelles ont dû être révoquées en mai 2025 après que le recourant s'en soit pris verbalement et physiquement à la mère de ses enfants, en présence de leur fils. Dès lors, comme relevé par le TMC, ces mesures se sont déjà avérées inaptes à atteindre les buts de la détention. Il apparaît également qu'en tout état, le recourant s'est montré à réitérées reprises incapable de les respecter.</w:t>
      </w:r>
    </w:p>
    <w:p>
      <w:r>
        <w:t>- 12/14 - P/23643/2022 6. Enfin, le principe de la proportionnalité (art. 197 CPP) n'est pas violé compte tenu de la durée de la détention du recourant, de la date de l'audience de jugement fixée au 15 octobre prochain et de la peine concrètement encourue si les faits reprochés étaient confirmés.</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- 13/14 - P/23643/2022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