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ACPR/776/2021 vom 18. August 2021</w:t>
      </w:r>
    </w:p>
    <w:p>
      <w:r>
        <w:t>GE Cour de justice, 2021-08-18, FR</w:t>
      </w:r>
    </w:p>
    <w:p>
      <w:r>
        <w:rPr>
          <w:b/>
        </w:rPr>
        <w:t xml:space="preserve">Quelle: </w:t>
      </w:r>
      <w:r>
        <w:t>https://mcp.opencaselaw.ch/entscheid/ge_gerichte_ACPR_776_2021</w:t>
      </w:r>
    </w:p>
    <w:p>
      <w:r>
        <w:t>FR: GE_GERICHTE ACPR/776/2021 du 18 août 2021</w:t>
      </w:r>
    </w:p>
    <w:p>
      <w:r>
        <w:t>IT: GE_GERICHTE ACPR/776/2021 del 18 agosto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w:t>
      </w:r>
    </w:p>
    <w:p>
      <w:r>
        <w:rPr>
          <w:b/>
        </w:rPr>
        <w:t>E. 4</w:t>
      </w:r>
    </w:p>
    <w:p>
      <w:r>
        <w:t>La recourante estime avoir été victime d'une dénonciation calomnieuse.</w:t>
      </w:r>
    </w:p>
    <w:p>
      <w:r>
        <w:rPr>
          <w:b/>
        </w:rPr>
        <w:t>E. 4.1</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w:t>
      </w:r>
    </w:p>
    <w:p>
      <w:r>
        <w:rPr>
          <w:b/>
        </w:rPr>
        <w:t>E. 4.2</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w:t>
      </w:r>
    </w:p>
    <w:p>
      <w:r>
        <w:t>- 6/11 - P/13859/2021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4.3</w:t>
      </w:r>
    </w:p>
    <w:p>
      <w:r>
        <w:t>En l'espèce, il faut constater, à titre liminaire, que la recourante a bénéficié d'une ordonnance de classement, le 6 avril 2021. La prévention d'usure retenue contre elle par le Ministère public doit donc être considérée comme une accusation fausse. Ce nonobstant, on ne saurait conclure qu'au moment où elle a déposé plainte, le 24 octobre 2018, la plaignante était certaine que la recourante n'avait commis aucune infraction pénale contre elle. La teneur de sa plainte, plutôt succincte, ne comporte pas le terme d'usure. En revanche, la plaignante y explique non seulement ses conditions et horaires de travail, mais aussi l'absence d'autorisation de séjour et le versement de ses salaires en espèces, sans prélèvement de cotisations sociales et sans quittances. Ces éléments-là n'ont jamais été contestés par la recourante, qui ne nie pas non plus avoir été sanctionnée pour ces faits par ordonnance pénale. Par ailleurs, lorsque la plaignante affirme que la recourante lui avait "tourné le dos" après qu'elle fut tombée malade, sans lui laisser le temps de "terminer" son travail et de "partir", l'expression de son sentiment est confirmée par les témoins entendus. En effet, les dépositions de ceux-ci tendent, en bref, à corroborer qu'elle s'était montrée – si ce n'est frustrée – à tout le moins déçue par la cessation de son emploi et l'abandon de son logement de service. De façon significative, elle a déclaré qu'ayant recouvré la santé après son AVC, elle eût été prête à poursuivre son emploi auprès de la recourante, laquelle a d'ailleurs produit un certificat médical qui n'y oppose aucune contre-indication. Ces éléments font apparaître que ce sont moins les conditions concrètes habituelles de son activité passée que leur fin sans préavis de congé ni indemnisation qui a conduit la mise en cause à saisir la justice pénale, et ce, quelques semaines après avoir perdu son emploi.</w:t>
      </w:r>
    </w:p>
    <w:p>
      <w:r>
        <w:t>- 7/11 - P/13859/2021 Au demeurant, c'est le Ministère public qui a ajouté l'art. 157 CP, non visé dans son ordonnance d'ouverture d'instruction du 11 janvier 2019, aux actes de procédure qu'il décidait simultanément. La recourante en sera formellement prévenue le 26 mars 2019. Dans l'intervalle, la mise en cause, défendue par avocat, n'apparaît pas avoir jamais sollicité l'extension de l'instruction à cette infraction. Dans ces conditions, on ne voit pas comment il pourrait être retenu à sa charge que, dans sa plainte pénale, elle avait porté délibérément une fausse accusation d'usure contre la recourante. Qu'une instruction d'une certaine ampleur ait été nécessaire avant le classement est sans pertinence et ne saurait en tout cas pas lui être imputé. En effet, la recourante aurait pu se tirer d'affaire rapidement, si elle avait, par exemple, versé les salaires de son employée de maison contre récépissés et/ou convenu avec elle par écrit de l'application du contrat-type de travail en vigueur pour le personnel domestique dans le canton de Genève – toutes précautions qu'elle n'a pas prises –. Dans cette configuration, la preuve testimoniale était la meilleure, si ce n'était la seule, possibilité d'élucider l'infraction, laquelle se poursuit d'office. La question de savoir si tout ou partie des faits visés par cette prévention ouvraient la voie à des prétentions civiles est sans pertinence sous l'angle de l'art. 303 CP.</w:t>
      </w:r>
    </w:p>
    <w:p>
      <w:r>
        <w:rPr>
          <w:b/>
        </w:rPr>
        <w:t>E. 5</w:t>
      </w:r>
    </w:p>
    <w:p>
      <w:r>
        <w:t>La recourante estime avoir été victime d'une tentative d'extorsion.</w:t>
      </w:r>
    </w:p>
    <w:p>
      <w:r>
        <w:rPr>
          <w:b/>
        </w:rPr>
        <w:t>E. 5.1</w:t>
      </w:r>
    </w:p>
    <w:p>
      <w:r>
        <w:t>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 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Le dessein d'enrichissement illégitime fait défaut lorsque l'auteur est titulaire d'une créance à l'égard de la personne visée ou croit être titulaire d'une créance à son encontre. Dans un tel cas, seule la contrainte (art. 181 CP) entre en ligne de compte (M. DUPUIS / L. MOREILLON / C. PIGUET / S. BERGER / M. MAZOU / V. RODIGARI</w:t>
      </w:r>
    </w:p>
    <w:p>
      <w:r>
        <w:t>- 8/11 - P/13859/2021 (éds), Code pénal - Petit commentaire, 2e éd., Bâle 2017, n. 19 ad art. 156 CP et les références citées).</w:t>
      </w:r>
    </w:p>
    <w:p>
      <w:r>
        <w:rPr>
          <w:b/>
        </w:rPr>
        <w:t>E. 5.2</w:t>
      </w:r>
    </w:p>
    <w:p>
      <w:r>
        <w:t>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 p. 20). Lorsque la victime ne se laisse pas intimider et n'adopte pas le comportement voulu par l'auteur, ce dernier est punissable de tentative de contrainte (art. 22 al. 1 CP; ATF 129 IV 262; 106 IV 125 consid. 2b).</w:t>
      </w:r>
    </w:p>
    <w:p>
      <w:r>
        <w:rPr>
          <w:b/>
        </w:rPr>
        <w:t>E. 5.3</w:t>
      </w:r>
    </w:p>
    <w:p>
      <w:r>
        <w:t>En l'espèce, c'est le Ministère public qui, après avoir étendu d'office son instruction à l'usure, a prié, également d'office, la partie plaignante de formuler et chiffrer ses prétentions civiles pendant la procédure préliminaire (cf. d'ailleurs l'art. 122 CPP). La partie plaignante n'en avait rien fait auparavant, puisqu'elle se l'était simplement réservé en déposant plainte. Or, dans ces circonstances et au vu de la période pénale, de vingt ans, retenue dans la notification de la prévention d'usure, on ne saurait être surpris que la partie plaignante se soit crue de bonne foi titulaire d'une créance substantielle contre la recourante – et l'ait chiffrée en conséquence –; quand bien même, comme on l'a vu, sa préoccupation initiale paraît avoir été, en réalité, la perte de son emploi par une décision de la recourante qui présentait toutes les apparences d'un licenciement sans préavis ni indemnité. Par conséquent, l'élément constitutif, nécessaire, du dessein d'enrichissement illégitime manque. On ne peut pas davantage suivre la recourante sur l'existence d'une menace sérieuse contre elle (au sens de l'art. 156 CP comme de l'art. 181 CP), qu'aurait représentée la crainte d'une condamnation pénale ou d'une atteinte à sa réputation ou à son avenir professionnel. Si la recourante fait grand cas de sa privation provisoire de liberté, il est de fait que la partie plaignante ne l'en a jamais menacée – ni même ne l'a</w:t>
      </w:r>
    </w:p>
    <w:p>
      <w:r>
        <w:t>- 9/11 - P/13859/2021 suggérée au Ministère public –, pas plus qu'elle n'aurait alerté son ancienne employeuse (ou menacé de le faire), si elle n'obtenait pas satisfaction. Déposer une plainte pénale et exercer l'action civile par adhésion est un moyen licite de faire valoir ses droits. Ce moyen n'était pas abusif, en l'occurrence. Le dossier ne révèle rien qui montrerait que la partie plaignante serait allée au-delà de la mise en œuvre de la justice pénale, i.e. aurait recouru à d'autres méthodes de pression pour tenter de faire prévaloir son point de vue et amener la recourante à lui payer ce qui ne lui était pas dû. La recourante n'en tente même pas la démonstration.</w:t>
      </w:r>
    </w:p>
    <w:p>
      <w:r>
        <w:rPr>
          <w:b/>
        </w:rPr>
        <w:t>E. 6</w:t>
      </w:r>
    </w:p>
    <w:p>
      <w:r>
        <w:t>Il s'ensuit que le recours doit être rejeté.</w:t>
      </w:r>
    </w:p>
    <w:p>
      <w:r>
        <w:rPr>
          <w:b/>
        </w:rPr>
        <w:t>E. 7</w:t>
      </w:r>
    </w:p>
    <w:p>
      <w:r>
        <w:t>La recourante, qui succombe, supportera les frais envers l'État, qui seront fixés en totalité à CHF 1'000.-, émolument compris (art. 428 al. 1 CPP et 13 al. 1 du Règlement fixant le tarif des frais en matière pénale, RTFMP; E 4 10.03). * * * * *</w:t>
      </w:r>
    </w:p>
    <w:p>
      <w:r>
        <w:t>- 10/11 - P/13859/2021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