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ACPR/772/2025 vom 17. Juni 2025</w:t>
      </w:r>
    </w:p>
    <w:p>
      <w:r>
        <w:t>GE Cour de justice, 2025-06-17, FR</w:t>
      </w:r>
    </w:p>
    <w:p>
      <w:r>
        <w:rPr>
          <w:b/>
        </w:rPr>
        <w:t xml:space="preserve">Quelle: </w:t>
      </w:r>
      <w:r>
        <w:t>https://mcp.opencaselaw.ch/entscheid/ge_gerichte_ACPR_772_2025</w:t>
      </w:r>
    </w:p>
    <w:p>
      <w:r>
        <w:t>FR: GE_GERICHTE ACPR/772/2025 du 17 juin 2025</w:t>
      </w:r>
    </w:p>
    <w:p>
      <w:r>
        <w:t>IT: GE_GERICHTE ACPR/772/2025 del 17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Ministère public qui, partie à la procédure (art. 104 al. 1 let. c CPP), a qualité pour agir.</w:t>
      </w:r>
    </w:p>
    <w:p>
      <w:r>
        <w:rPr>
          <w:b/>
        </w:rPr>
        <w:t>E. 2</w:t>
      </w:r>
    </w:p>
    <w:p>
      <w:r>
        <w:t>Le Ministère public s’oppose à la levée partielle du séquestre, au motif que les avoirs séquestrés ne permettent pas de compenser l’enrichissement illégitime présumé du prévenu et qu’une libération partielle des fonds aurait pour effet d’avantager certains créanciers par rapport à d’autres.</w:t>
      </w:r>
    </w:p>
    <w:p>
      <w:r>
        <w:rPr>
          <w:b/>
        </w:rPr>
        <w:t>E. 2.1</w:t>
      </w:r>
    </w:p>
    <w:p>
      <w:r>
        <w:t>Le prononcé (art. 263 CPP), puis le maintien (art. 267 al. 1 CPP), d'un séquestre suppose la réalisation des conditions suivantes, notamment : i. Il est probable que les objets ou valeurs concernés par la saisie seront, au terme de la procédure, confisqués (art. 263 al. 1 let. d CPP) ou utilisés pour couvrir une créance compensatrice (art. 263 al. 1 let. e CPP). i.a. La finalité des art. 70 (confiscation) et 71 (créance compensatrice) CP est d'ôter à l'auteur ou au tiers bénéficiaire toute rentabilité à l'infraction commise. Il s’agit de supprimer l'avantage financier résultant de l'activité illicite et ce, que ledit auteur/tiers dispose toujours de cet avantage – auquel cas une confiscation est envisageable – ou non (parce qu'il l'a aliéné, etc.) – hypothèse qui justifie alors le prononcé d'une créance compensatrice – (arrêt du Tribunal fédéral 7B_191/2023 du 13 mars 2024 consid. 2.3.3</w:t>
      </w:r>
    </w:p>
    <w:p>
      <w:r>
        <w:t>- 5/7 - P/25726/2023 et 2.3.4; L. MOREILLON/Y. NICOLET, La créance compensatrice, in RPS 135 (2017), p. 417 et p. 419). Si le montant dudit avantage ne peut être déterminé avec précision, le juge est habilité à procéder à une estimation (art. 70 al. 5 CP). i.b. Un séquestre est proportionné tant que subsiste la probabilité du prononcé d'une mesure fondée sur les art. 70/71 CP. Aussi longtemps que l'instruction n'est pas achevée et que subsiste une telle probabilité, cette mesure conservatoire doit être maintenue (arrêt du Tribunal fédéral 7B_366/2023 du 14 février 2024 consid. 3.2.1). Il faut en outre que la quotité de la saisie reste en rapport avec le produit de l'infraction poursuivie (ATF 130 II 329 consid. 6; arrêt du Tribunal fédéral 7B_366/2023 précité, consid. 3.2.2). i.c. Contrairement au séquestre de l’art. 70 al. 1 CP, qui suppose un lien de causalité entre l’infraction et l’objet saisi en vue de la confiscation (ATF 140 IV 57 consid. 4.1.2), le séquestre visant à garantir une éventuelle créance compensatrice (art. 263 al. 1 let. e CPP) peut porter sur tous les biens, valeurs et/ou revenus de l'intéressé sans qu'un lien de connexité avec l'infraction ne soit exigé. Tant que l'étendue de la mesure ne paraît pas manifestement violer le principe de proportionnalité, notamment sous l'angle du respect des conditions minimales d'existence, le séquestre doit être maintenu. C'est devant le juge du fond au moment du prononcé de la créance compensatrice que la situation personnelle, notamment financière, du prévenu sera prise en considération. Tel est aussi le cas au moment de l'exécution de celle-ci. En effet, le séquestre conservatoire est maintenu une fois le jugement entré en force jusqu'à son remplacement par une mesure du droit des poursuites. La poursuite de la créance compensatrice, la réalisation des biens séquestrés et la distribution des deniers interviennent donc conformément à la LP et auprès des autorités compétentes en la matière (ATF 141 IV 360 consid. 3.2). i.d. Le séquestre peut également couvrir les frais de la procédure, respectivement les futures indemnités, peines pécuniaires et/ou amendes à payer (art. 263 al. 1 let. b cum 268 al. 1 CPP).</w:t>
      </w:r>
    </w:p>
    <w:p>
      <w:r>
        <w:rPr>
          <w:b/>
        </w:rPr>
        <w:t>E. 2.2</w:t>
      </w:r>
    </w:p>
    <w:p>
      <w:r>
        <w:t>En l’espèce, la décision entreprise ne remet pas en question le bienfondé du séquestre en tant que tel, mais la pertinence de garder sous séquestre deux montants crédités sur le compte du prévenu et dont l’origine est considérée comme licite. Les montants précités résultent de l’exécution d’un contrat d’assurance entre celui-ci et une assurance-maladie visant à couvrir son épouse au titre de ses dépenses de santé.</w:t>
      </w:r>
    </w:p>
    <w:p>
      <w:r>
        <w:t>- 6/7 - P/25726/2023 Bien que non contestée, l’origine licite desdits fonds n’est donc pas pertinente pour l’examen des conditions de l’art. 263 al. 1 let. e CPP. Dans la mesure où le montant du préjudice allégué s’élève à près de CHF 27 millions, il n’est largement pas couvert par les avoirs séquestrés, qui s’élèvent à un montant total d’environ CHF 3 millions, selon l’allégation du Ministère public, non contestée par le prévenu et son épouse. L’étendue du séquestre demeure donc conforme au principe de la proportionnalité. En attente du jugement au fond, les conditions posées par l’art. 263 al. 1 let. e CPP paraissent donc, prima facie, remplies pour le prononcé et le maintien du séquestre en vue d’une créance compensatrice. Or, dans le cadre d’une éventuelle créance compensatrice, il appartiendra, le cas échéant, aux règles du droit des poursuites de déterminer comment et dans quelle mesure les créances reconnues devront être indemnisées. Il s’ensuit que, compte tenu du caractère distinct du remboursement de l’assurance par rapport à la dette supposée à l’égard des médecins pour leurs prestations, la levée partielle du séquestre en vue de payer ces derniers consisterait en un avantage accordé à certains créanciers, potentiellement au détriment des autres.</w:t>
      </w:r>
    </w:p>
    <w:p>
      <w:r>
        <w:rPr>
          <w:b/>
        </w:rPr>
        <w:t>E. 3</w:t>
      </w:r>
    </w:p>
    <w:p>
      <w:r>
        <w:t>Fondé, le recours doit être admis ; partant, l'ordonnance querellée sera annulée et le séquestre maintenu.</w:t>
      </w:r>
    </w:p>
    <w:p>
      <w:r>
        <w:rPr>
          <w:b/>
        </w:rPr>
        <w:t>E. 4</w:t>
      </w:r>
    </w:p>
    <w:p>
      <w:r>
        <w:t>L'admission du recours ne donne pas lieu à la perception de frais (art. 428 al. 1 CPP). * * * * *</w:t>
      </w:r>
    </w:p>
    <w:p>
      <w:r>
        <w:t>- 7/7 - P/25726/2023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