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ACPR/770/2021 vom 16. Juni 2021</w:t>
      </w:r>
    </w:p>
    <w:p>
      <w:r>
        <w:t>GE Cour de justice, 2021-06-16, FR</w:t>
      </w:r>
    </w:p>
    <w:p>
      <w:r>
        <w:rPr>
          <w:b/>
        </w:rPr>
        <w:t xml:space="preserve">Quelle: </w:t>
      </w:r>
      <w:r>
        <w:t>https://mcp.opencaselaw.ch/entscheid/ge_gerichte_ACPR_770_2021</w:t>
      </w:r>
    </w:p>
    <w:p>
      <w:r>
        <w:t>FR: GE_GERICHTE ACPR/770/2021 du 16 juin 2021</w:t>
      </w:r>
    </w:p>
    <w:p>
      <w:r>
        <w:t>IT: GE_GERICHTE ACPR/770/2021 del 16 giugno 2021</w:t>
      </w:r>
    </w:p>
    <w:p>
      <w:pPr>
        <w:pStyle w:val="Heading2"/>
      </w:pPr>
      <w:r>
        <w:t>Erwägungen</w:t>
      </w:r>
    </w:p>
    <w:p>
      <w:r>
        <w:rPr>
          <w:b/>
        </w:rPr>
        <w:t>E. 6</w:t>
      </w:r>
    </w:p>
    <w:p>
      <w:r>
        <w:t>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L'art. 319 al. 1 let. e CPP vise essentiellement des infractions commises dans des circonstances particulières, notamment justifiant une exemption de peine (art. 52 à 54 CP et art. 8 CPP), (M. DUPUIS / B. GELLER / G. MONNIER / L. MOREILLON / C. PIGUET / C. BETTEX / D. STOLL (éds), Code pénal - Petit commentaire, Bâle 2012, n. 19, ad art. 319). Conformément à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4.2. Est notamment puni d'une peine pécuniaire de 180 jour-amende au plus celui qui, par des indications fausses ou incomplètes, ou de toute autre manière, aura éludé, en tout ou en partie, l’obligation de payer des cotisations (art. 87 al. 2 LAVS). Si l’infraction est commise dans la gestion d’une personne morale, d’une société de personnes ou d’une maison à raison commerciale individuelle, les dispositions pénales de l'art. 87 LAVS sont applicables aux personnes qui ont agi ou auraient dû agir en son nom. En règle générale, la personne morale est toutefois tenue solidairement du paiement de l’amende et des frais (art. 89 al. 1 LAVS).</w:t>
      </w:r>
    </w:p>
    <w:p>
      <w:r>
        <w:t>- 10/13 - P/15571/2019 4.3. Il découle de l'arrêt du Tribunal fédéral 4A_498/2018 du 11 avril 2019 que les parties ne peuvent pas convenir d'une clause contractuelle autorisant l'employeur à imputer sur le salaire brut convenu les cotisations incombant à celui-ci. En revanche, en vertu du principe de la liberté contractuelle, elles peuvent s'accorder sur les critères permettant de déterminer le salaire variable, y compris en déduisant de façon purement mathématique la part patronale des charges sociales. En tout état, il convient de chercher l'intention réelle et commune des parties, au besoin sur la base d'indices puis, à défaut, déterminer de manière objective le sens que les parties devaient prêter à leurs déclarations en vertu de la bonne foi et du principe de la confiance. 4.4. L'appropriation illégitime (art. 137 CP) et l'abus de confiance (art. 138 CP) sont des infractions intentionnelles, le dol éventuel étant suffisant (cf. art. 12 al. 1 CP) (Y. JEANNERET / A. KUHN / C. PERRIER DEPEURSINGE (éds), Commentaire romand : Code de procédure pénale suisse, 2ème éd., Bâle 2019, n. 33 ad art. 137 et n. 46 ad art. 138). 4.5. En l'espèce, les parties se sont accordées, tel que le leur permet la loi, sur la manière de déterminer le salaire variable de l'employé. En revanche, la mise en œuvre pratique du contrat est désormais source de litige, dès lors qu'elle ne correspond pas à ce qui a été convenu. En conséquence, le plaignant semble avoir payé, entre 2014 et 2017, les parts employé et employeur des cotisations sociales, mais celles-ci ont été imputées sur un salaire supérieur à ce qu'il aurait dû percevoir si le contrat avait été correctement exécuté, puisque la charge patronale aurait dû être déduite sur l'allocation des produits. En réaction, le prévenu, agissant pour la société, a procédé à des remboursements et a manifesté, au cours des différents échanges entre les parties, une volonté constante de réparer toute éventuelle erreur commise, expliquant à l'employé, à chaque intervention, les motifs à l'origine des décisions prises, en lui remettant les pièces nécessaires. Il s'est adressé au réviseur, lequel a validé un tableau détaillant la méthode de calcul qui aurait dû être appliquée selon l'entreprise, en comparaison à celle qui a effectivement été utilisée. Ce document permettait au recourant de comprendre les sources de la dette qui lui était réclamée et de la contester en toute connaissance de cause. En outre, B______ a, ensuite du dépôt de plainte, expliqué être enclin à trouver une solution au litige, laquelle devait tenir compte du fait que la société avait elle aussi été lésée par l'erreur commise. De son côté, le recourant s'est contenté de contester la perception des charges patronales sur son salaire brut de 2014 à 2017, bien qu'il ait été admis dès les prémisses de la procédure que cette façon de procéder n'avait pas lieu d'être. Jamais il ne s'est clairement prononcé sur la possibilité que les cotisations employeur</w:t>
      </w:r>
    </w:p>
    <w:p>
      <w:r>
        <w:t>- 11/13 - P/15571/2019 puissent être, en vertu d'un accord, prélevées en amont afin de déterminer le salaire brut, position soutenue par son employeur. Il parait difficile de retenir de ce qui précède une volonté délictuelle de la société ou d'une quelconque personne, de sorte que les éléments constitutifs d'une infraction à l'art. 87 LAVS ou de toute autre infraction contre le patrimoine ne paraissent ainsi pas réalisés. Dans ces circonstances, un acquittement apparaît plus probable qu'une condamnation. Les actes d'instruction sollicités ne permettraient pas d'aboutir à une solution différente. Il n’appartient pas à la justice pénale de procéder à des expertises ou à des calculs et analyses visant à trancher le bien-fondé de créances, à l'aune du droit des obligations, cette compétence incombant, en l'absence d'infraction, exclusivement à la juridiction civile. Aussi, une expertise comptable indépendante n'est pas opportune dans le cas d'espèce, étant en plus souligné que le dossier comporte suffisamment de pièces permettant d'établir les faits. Il en va de même pour le témoignage de la caisse de compensation requis, puisqu'il a été attesté que l'employé a été annoncé à la D______ dès sa prise de fonction. Quant au certificat médical dont la production est sollicitée, il ne s'agit manifestement pas d'une pièce portant sur des faits pertinents, vu notamment la chronologie des évènements. Le Ministère public pouvait ainsi, sans qu'il ne faille procéder à des actes d'instruction complémentaires, considérer que l'instruction était close et classer les faits. Quant au motif de classement, le Ministère public a considéré que le mis en cause avait fait preuve de sa volonté de réparer le préjudice éventuel et que l'intérêt public à le poursuivre pour ces faits était de peu d'importance. Il a classé la procédure sur la base de l'art. 319 al. 1 let e CPP. Or, c'est principalement en raison de l'absence de soupçon suffisant justifiant une mise en accusation (let. a) et dès lors que les éléments constitutifs d'une infraction n'étaient pas réunis (let. b) qu'il convenait de classer. Exempte de critique dans son résultat, la décision entreprise sera donc confirmée, par substitution de motifs, et le recours rejeté. 5. Le recourant, qui succombe, supportera les frais envers l'État, qui seront fixés en totalité à CHF 1'000.- (art. 428 al. 1 CPP et 13 al. 1 du Règlement fixant le tarif des frais en matière pénale, RTFMP ; E 4 10.03). * * * * *</w:t>
      </w:r>
    </w:p>
    <w:p>
      <w:r>
        <w:t>- 12/13 - P/15571/2019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