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ACPR/770/2019 vom 7. Mai 2019</w:t>
      </w:r>
    </w:p>
    <w:p>
      <w:r>
        <w:t>GE Cour de justice, 2019-05-07, FR</w:t>
      </w:r>
    </w:p>
    <w:p>
      <w:r>
        <w:rPr>
          <w:b/>
        </w:rPr>
        <w:t xml:space="preserve">Quelle: </w:t>
      </w:r>
      <w:r>
        <w:t>https://mcp.opencaselaw.ch/entscheid/ge_gerichte_ACPR_770_2019</w:t>
      </w:r>
    </w:p>
    <w:p>
      <w:r>
        <w:t>FR: GE_GERICHTE ACPR/770/2019 du 7 mai 2019</w:t>
      </w:r>
    </w:p>
    <w:p>
      <w:r>
        <w:t>IT: GE_GERICHTE ACPR/770/2019 del 7 maggio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Depuis le 1er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Le recours contre la décision querellée a été déposé selon la forme et dans le délai (art. 385 et 396 al. 1 CPP) et émane du condamné, qui a un intérêt à l'annulation de la décision entreprise (art. 104 al. 1 let. a, 111 et 382 CPP).</w:t>
      </w:r>
    </w:p>
    <w:p>
      <w:r>
        <w:t>- 9/13 - PM/553/2019</w:t>
      </w:r>
    </w:p>
    <w:p>
      <w:r>
        <w:rPr>
          <w:b/>
        </w:rPr>
        <w:t>E. 1.3</w:t>
      </w:r>
    </w:p>
    <w:p>
      <w:r>
        <w:t>La procédure devant la Chambre de céans est régie par le CPP, applicable au titre de droit cantonal supplétif (art. 42 al. 2 LaCP). La procédure est écrite (art. 397 al. 1 CPP), et il y a d’autant moins de raison d’y déroger que le recourant s’est clairement exprimé en français, tout d’abord par écrit (dans sa requête à l’attention du SAPEM), puis par oral aux débats du 17 juin 2019 (sans qu’il n’ait réclamé de défenseur ou de traducteur) et à nouveau par écrit (dans l’acte de recours).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w:t>
      </w:r>
    </w:p>
    <w:p>
      <w:r>
        <w:t>- 10/13 - PM/553/2019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(ATF 133 IV 201 consid. 3.2; M. DUPUIS / L. MOREILLON / C. PIGUET / S. BERGER / M. MAZOU / V. RODIGARI (éds), Code pénal - Petit commentaire, 2e éd., Bâle 2017, n. 8 ad art. 86 CP).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p. 269 et 270; ACPR/252/2017 du 13 avril 2017 consid. 3.1).</w:t>
      </w:r>
    </w:p>
    <w:p>
      <w:r>
        <w:rPr>
          <w:b/>
        </w:rPr>
        <w:t>E. 3.2</w:t>
      </w:r>
    </w:p>
    <w:p>
      <w:r>
        <w:t>En l'espèce, la condition objective d'une libération conditionnelle est, certes, réalisée depuis le 9 mai 2019. Le recourant ne bénéficie cependant pas de préavis positifs, hormis celui de l'établissement d'exécution. Il n'a pas d'antécédents judicaires hormis en Allemagne pour une infraction contre le patrimoine. Les projets d'avenir du recourant ne sont pas étayés. Le recourant n'a fourni aucune précision fiable et concrète sur ses possibilités de travailler et se loger en Albanie. Sa volonté de fonder une famille avec la copine qu'il a fréquenté il y a dix neuf ans ne paraît pas d'une totale fiabilité si l'on considère que cette dernière ne lui a jamais rendu visite en prison, et que l'on ignore ce qu'il lui a expliqué des motifs pour lesquels il a été condamné, quand bien même elle affirme être prête à abandonner ce qu'elle a construit à J______ [Angleterre] pour l'épouser. En outre, il n'a pas pris la</w:t>
      </w:r>
    </w:p>
    <w:p>
      <w:r>
        <w:t>- 11/13 - PM/553/2019 mesure de ses troubles du comportement avec les femmes et n'a pas jugé utile de suivre une psychothérapie volontaire pour se confronter à cette problématique. Les sanctions écopées en détention traduisent une incapacité de se plier aux règles. Son parcours chaotique dans les divers établissements pénitentiaires laisse craindre une incapacité à gérer ses comportements dyssociaux tels que diagnostiqués par l'expertise. D'une appréciation d'ensemble, il résulte que la libération conditionnelle apparaît mal préparée et le risque de récidive suffisamment élevé pour faire échec à la demande de libération. Le premier juge l'a parfaitement apprécié.</w:t>
      </w:r>
    </w:p>
    <w:p>
      <w:r>
        <w:rPr>
          <w:b/>
        </w:rPr>
        <w:t>E. 4</w:t>
      </w:r>
    </w:p>
    <w:p>
      <w:r>
        <w:t>Justifié, le jugement querellé sera donc confirmé.</w:t>
      </w:r>
    </w:p>
    <w:p>
      <w:r>
        <w:rPr>
          <w:b/>
        </w:rPr>
        <w:t>E. 5</w:t>
      </w:r>
    </w:p>
    <w:p>
      <w:r>
        <w:t>Le recourant, qui succombe, supportera les frais envers l'État, qui comprendront un émolument de CHF 900.- (art. 428 al. 1 CPP et 13 al. 1 du Règlement fixant le tarif des frais en matière pénale, RTFMP; E 4 10.03).</w:t>
      </w:r>
    </w:p>
    <w:p>
      <w:r>
        <w:rPr>
          <w:b/>
        </w:rPr>
        <w:t>E. 6</w:t>
      </w:r>
    </w:p>
    <w:p>
      <w:r>
        <w:t>Le conseil du recourant a été nommé d'office par le TAPEM le 2 mai 2019. Il a produit un état de frais correspondant à 8h30 d'activité au tarif horaire de CHF 200.- (2 visites à H______ soit 2h20, 1h15 d'étude du dossier, 5h pour la rédaction du recours et 15min pour les observations après recours) et CHF 100.- de frais d'interprète.</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L'indemnisation requise apparaît excessive pour la procédure de recours, au regard tant de l'ampleur de ses écritures (11 pages de recours dont 3 pour la page de garde et les conclusions) que de la difficulté, toute relative, de l'affaire. Seules 5h seront ainsi prises en charge donnant une rémunération de CHF 1'000.- plus 7.7% de TVA et le remboursement des CHF 100.- de frais d'interprète. * * * * *</w:t>
      </w:r>
    </w:p>
    <w:p>
      <w:r>
        <w:t>- 12/13 - PM/553/2019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