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ACPR/76/2026 vom 21. Januar 2026</w:t>
      </w:r>
    </w:p>
    <w:p>
      <w:r>
        <w:t>GE Cour de justice, 2026-01-21, FR</w:t>
      </w:r>
    </w:p>
    <w:p>
      <w:r>
        <w:rPr>
          <w:b/>
        </w:rPr>
        <w:t xml:space="preserve">Quelle: </w:t>
      </w:r>
      <w:r>
        <w:t>https://mcp.opencaselaw.ch/entscheid/ge_gerichte_ACPR_76_2026</w:t>
      </w:r>
    </w:p>
    <w:p>
      <w:r>
        <w:t>FR: GE_GERICHTE ACPR/76/2026 du 21 janvier 2026</w:t>
      </w:r>
    </w:p>
    <w:p>
      <w:r>
        <w:t>IT: GE_GERICHTE ACPR/76/2026 del 21 gennaio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se plaignent d'une motivation insuffisante de l'ordonnance querellée, consacrant une violation de leur droit d'être entendus, le Ministère public ne s'étant pas suffisamment exprimé sur les raisons du rejet de leurs réquisitions de preuve.</w:t>
      </w:r>
    </w:p>
    <w:p>
      <w:r>
        <w:rPr>
          <w:b/>
        </w:rPr>
        <w:t>E. 3.1</w:t>
      </w:r>
    </w:p>
    <w:p>
      <w:r>
        <w:t>Une 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(ATF 146 II 335 consid. 5.1; 143 IV 40 consid. 4.3.4; 142 II 154 consid. 4.2). La motivation peut d'ailleurs être implicite et résulter des différents considérants de la décision (ATF 141 V 557 consid. 3.2.1).</w:t>
      </w:r>
    </w:p>
    <w:p>
      <w:r>
        <w:rPr>
          <w:b/>
        </w:rPr>
        <w:t>E. 3.2</w:t>
      </w:r>
    </w:p>
    <w:p>
      <w:r>
        <w:t>En l'espèce, en dépit des critiques des recourants, il apparaît que la motivation de l’ordonnance querellée concernant le refus de leurs réquisitions de preuve est suffisante. On comprend, en effet, de la motivation du Ministère public sur ce point qu'il a estimé que les éléments de preuve recueillis ‒ dont les déclarations des différents protagonistes de l'affaire ‒ étaient suffisants et que des actes d'enquête supplémentaires – y compris les confrontations sollicitées ‒ n'amèneraient pas d'éléments décisifs. Tant les recourants que la Chambre de céans sont à même de saisir les motifs ayant guidé la décision du Ministère public à cet égard, ce qui a permis du reste aux recourants de faire valoir leurs griefs sur ce point et à l'autorité de recours d'exercer son contrôle. Dans ces conditions, il n'y a pas de place pour une violation du droit d'être entendu.</w:t>
      </w:r>
    </w:p>
    <w:p>
      <w:r>
        <w:rPr>
          <w:b/>
        </w:rPr>
        <w:t>E. 4</w:t>
      </w:r>
    </w:p>
    <w:p>
      <w:r>
        <w:t>Les recourants reprochent au Ministère public d'avoir classé la procédure. 4.1.1. Aux termes de l'art. 319 al. 1 CPP, le ministère public classe la procédure notamment lorsqu’aucun soupçon justifiant une mise en accusation n’est établi (let. a), lorsque les éléments constitutifs d'une infraction ne sont pas réunis (let. b), ou encore lorsqu'il peut renoncer à toute poursuite ou à toute sanction en vertu de dispositions légales (let. e).</w:t>
      </w:r>
    </w:p>
    <w:p>
      <w:r>
        <w:t>- 16/23 - P/1358/2021 Cette disposition doit être appliquée conformément à l'adage "in dubio pro duriore". Celui-ci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4.1.2. Selon l’art. 8 al. 1 CPP, le ministère public et les tribunaux renoncent à toute poursuite pénale lorsque le droit fédéral le prévoit, notamment aux conditions de l'art. 52 CP. 4.1.3. Aux termes de l'art. 52 CP, si la culpabilité de l’auteur et les conséquences de son acte sont peu importantes, l’autorité compétente renonce à le poursuivre, à le renvoyer devant le juge ou à lui infliger une peine. 4.2.1. L'art. 251 ch. 1 CP [dans sa teneur en vigueur au moment des faits; art. 2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1ère phrase CP). Les infractions du droit pénal relatives aux titres protègent la confiance qui, dans les relations juridiques, est placée dans un titre comme moyen de preuve. La destination et l'aptitude à prouver un fait précis d'un document peuvent résulter directement de la loi, des usages commerciaux ou du sens et de la nature dudit document (ATF 138 IV 130 consid. 2.1 et 2.2). 4.2.2. L'art. 251 ch. 1 CP vise non seulement un titre faux ou la falsification d'un titre (faux matériel), mais aussi un titre mensonger (faux intellectuel). Il y a faux matériel lorsque l'auteur réel du document ne correspond pas à l'auteur apparent (ATF 146 IV 258 consid. 1.1; 142 IV 119 consid. 2.1; 138 IV 130 consid. 2.1). Le faux intellectuel vise quant à lui un titre qui émane de son auteur apparent mais qui est</w:t>
      </w:r>
    </w:p>
    <w:p>
      <w:r>
        <w:t>- 17/23 - P/1358/2021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(ATF 146 IV 258 consid. 1.1). Il doit résulter des circonstances concrètes ou de la loi que le document est digne de confiance, de telle sorte qu'une vérification par le destinataire n'est pas nécessaire et ne saurait être exigée (ATF 138 IV 130 consid. 2.1; 132 IV 12 consid. 8.1; 129 IV 130 consid. 2.1). Pour que le mensonge soit punissable comme faux intellectuel, il faut que le document ait une valeur probante plus grande que dans l'hypothèse d'un faux matériel. On parle alors de "valeur probante accrue" (arrêts du Tribunal fédéral 6B_683/2024 du 31 mars 2025 consid. 2.1; 6B_164/2024 du 26 février 2025 consid. 4.1; 7B_21/2023 du 1er octobre 2024 consid. 6.3.2). 4.2.3.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4.3.1. L'art. 317 ch. 1 CP [dans sa teneur en vigueur au moment des faits; art. 2 CP] punit les fonctionnaires et les officiers publics qui auront intentionnellement créé un titre faux, falsifié un titre, ou abusé de la signature ou de la marque à la main réelles d'autrui pour fabriquer un titre supposé; ou les fonctionnaires et les officiers publics qui auront intentionnellement constaté faussement dans un titre un fait ayant une portée juridique, notamment en certifiant faussement l'authenticité d'une signature ou d'une marque à la main ou l'exactitude d'une copie. L'infraction peut être également réalisée par négligence (art. 317 ch. 2 CP). 4.3.2. Aucun dessein spécial n'est exigé dans le cas de l'art. 317 CP, contrairement à l'art. 251 CP (qui exige le dessein de nuire ou celui de se procurer ou de procurer à un tiers un avantage illicite). En revanche, l'auteur doit agir avec la volonté de tromper autrui dans les relations d'affaires ou tout au moins de consentir à ce résultat pour le cas où il se produirait. L’infraction est également consommée lorsque l’auteur agit par négligence (M. DUPUIS / L. MOREILLON / C. PIGUET / S. BERGER / M. MAZOU / V. RODIGARI, Code Pénal, Petit commentaire, 2ème éd., Bâle 2017, n. 14 ad art. 317). 4.4.1. Les demandes d'autorisation de construire sont adressées au département (art. 2 al. 1 de la loi sur les constructions et les installations diverses [LCI] et 9 al. 1 du règlement d'application de la loi sur les constructions et les installations diverses</w:t>
      </w:r>
    </w:p>
    <w:p>
      <w:r>
        <w:t>- 18/23 - P/1358/2021 [RCI]). Le règlement d'application détermine les pièces qui doivent être déposées par le demandeur et les indications que celui-ci doit fournir concernant les objets destinés à occuper le sous-sol de façon permanente (art. 2 al. 2 LCI). L'art. 9 al. 2 RCI décrit les plans et documents qu'il y a lieu de joindre à la demande, étant précisé que l'extrait du plan d'ensemble, peut être obtenu soit sur le guichet cartographique de la mensuration officielle, soit auprès d'un ingénieur-géomètre officiel, avec indication de la ou des parcelles concernées (let. a). Sur le plan cadastral, sont notamment précisés les raccords aux canalisations d'évacuation existantes. La signature du plan cadastral par un ingénieur-géomètre officiel est obligatoire, sauf lorsque l'objet de la demande porte uniquement sur la transformation, la rénovation ou le changement d'affectation d'une construction (let. b). Parmi les documents devant être joints figurent, en particulier, un plan des canalisations d'évacuation des eaux usées et pluviales existantes et à construire, jusqu'aux points de déversement aux collecteurs en indiquant les diamètres et niveaux (let. g), ainsi qu'une copie certifiée conforme de l'acte constitutif de la servitude de passage, maintien et entretien des canalisations sur fonds d'autrui ou attestation d'un notaire certifiant qu'il a mandat irrévocable des parties d'instrumenter un tel acte (let. i). 4.4.2. Selon l'ATA/636/2011 (consid. a et b),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LCI, 18 RCI ; art. 145 LCI et 60 LPA).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4.5.1. En l'espèce, il est établi que, le 13 décembre 2017, le bureau d'architectes F______ SA, agissant sur mandat du propriétaire B______ et du promoteur E______, a déposé une demande d'autorisation de démolir et de construire sur la parcelle no 1______ de la commune de C______, accompagnée d'un plan cadastral et d'un plan de canalisations, auprès de l'OAC. Il apparaît, par ailleurs, que lesdits plans ne correspondaient alors pas à la réalité du terrain, au vu de l'expertise privée du 15 février 2020 et du dépôt de la demande d'autorisation de construire complémentaire, avec de nouveaux plans, le 18 mars 2022. Les recourants soutiennent tout d'abord que "les mandataires professionnellement qualifiés" auraient sciemment déposé de faux plans, dans le but de faciliter l'obtention</w:t>
      </w:r>
    </w:p>
    <w:p>
      <w:r>
        <w:t>- 19/23 - P/1358/2021 de l'autorisation de construire et de les empêcher d'exercer leurs droits, et qu'ils auraient ainsi réalisé les éléments constitutifs de l'infraction de faux dans les titres (art. 251 CP). Or, les éléments du dossier ne permettent pas d'asseoir de telles conclusions. En effet, quand bien même de tels plans constitueraient des titres – question qui peut demeurer ouverte ‒ les conditions subjectives d'une infraction de faux dans les titres font défaut. Il résulte des déclarations des architectes, notamment ceux ayant eu la qualité de MPQ, qu'ils ignoraient que les plans initialement déposés ne correspondaient alors pas à la réalité du terrain, s'en étant remis à cet égard aux ingénieurs, sans qu'aucun élément sérieux ne permette d'en douter. Il ressort à cet égard de la procédure que le géomètre officiel et l'ingénieur se sont basés sur les plans émanant des archives pour établir les leurs ainsi que sur les données ressortant des registres cantonaux et logiciels topiques. Dans ces circonstances, les inexactitudes alléguées dans les plans litigieux n'apparaissent, quoiqu'il en soit, pas trouver leur origine dans une volonté de donner un contenu mensonger à ces plans et de tromper les autorités, mais semblent bien plutôt provenir d'un manque de ressources matérielles fiables. Du reste, dans son arrêt du 3 novembre 2020, la Chambre administrative a observé que même l’expertise privée témoignait des difficultés qu’avait rencontrées l’expert pour établir un plan. Il en ressortait néanmoins que le terrain était équipé. Au vu de la difficulté d’établir les faits, il ne pouvait être reproché au requérant d’avoir transmis des plans inexacts ni d’avoir violé l’art. 9 RCI qui dresse la liste des documents à fournir, dont le plan des canalisations. Ainsi, le département avait, à juste titre, estimé, et maintenu après connaissance de ladite expertise, que les précisions fournies quant aux canalisations étaient suffisantes au stade de la demande d’autorisation de construire, l’OCEau réservant dans son préavis l’apport des précisions complémentaires nécessaires. En outre, il n'apparaît pas que de tels faux auraient été susceptibles de procurer un quelconque avantage aux requérants. À cet égard, G______ a indiqué ne rien avoir à gagner à présenter un plan erroné et rien ne permet d'inférer le contraire. Il ne ressort pas des déclarations de K______, principalement chargé du projet, qu'un retard dans la délivrance de la première autorisation de construire aurait eu des conséquences particulières sur le projet. E______ a par ailleurs indiqué que la demande complémentaire avait permis une économie par rapport au premier concept</w:t>
      </w:r>
    </w:p>
    <w:p>
      <w:r>
        <w:t>- 20/23 - P/1358/2021 d'évacuation des eaux et confirmé qu'il n'y avait ainsi pas eu d'avantage à présenter les plans de 2017 plutôt que ceux de 2022. En tout état de cause, d'après les explications de P______, les plans initialement soumis pouvaient faire l'objet de mises à jour jusqu'à l'exécution du chantier et des solutions étaient toujours trouvées pour respecter les exigences de l'OCEau. D'après J______, il n'était pas rare qu'un plan d'exécution fût différent du plan d'autorisation, les informations manquantes arrivant souvent en cours d'exécution, ce que H______ a également relevé. Partant, les éléments constitutifs d'une infraction de faux dans les titres au sens de l'art. 251 CP n'apparaissent pas réalisés. En tout état de cause, tel que le Ministère public l'indique, il se justifierait de renoncer à toute poursuite pénale (art. 52 CP), au vu des conséquences peu tangibles de ces faits. 4.5.2. Les recourants soutiennent par ailleurs que la demande d'autorisation de construire complémentaire du 18 mars 2022 constituerait également un faux dans les titres au sens de l'art. 251 CP, dès lors qu'elle comportait la signature de l'architecte K______, alors que celui-ci était en arrêt de travail à cette période. Or, il ressort des enquêtes menées que les signatures en format électronique des associés étaient enregistrées dans le système du bureau d'architecture, afin que ceux- ci puissent notamment les utiliser pour signer des documents au nom d'un associé absent pour ne pas bloquer les dossiers en cours. Cette façon de faire avait été approuvée par tous les associés, dont K______. Certes, ce dernier a déclaré que sa signature avait été utilisée à son insu sur la demande d'autorisation complémentaire. Ces propos doivent toutefois être nuancés compte tenu du litige prud'homal opposant K______ à F______ SA depuis septembre 2022 et rien n'indique par ailleurs que le précité aurait ultérieurement signifié à ses associés qu'il n'était plus d'accord de procéder comme ils avaient pour habitude de faire. Cela étant, quand bien même le document visé ait été un titre, on ne perçoit, en tout état de cause, pas une intention de tromper les autorités de la sorte, cette façon de faire ayant manifestement été mise en place à des fins pratiques. Au demeurant, l'identité de la personne qui a apposé la signature litigieuse sur la demande d'autorisation de construire complémentaire n'a pas pu être déterminée et, au vu du défaut d'intention délictuelle, il n'apparaît pas utile de pousser les investigations sur ce point. On ne voit enfin pas non plus à quel dessein illicite la signature de K______ aurait été employée, étant au surplus relevé que S______ a indiqué que le changement de MPQ avait été effectué pour anticiper le départ à la retraite de G______. Un autre architecte du bureau aurait de toute façon pu signer cette demande et obtenir l'autorisation, ce qu'a relevé à juste titre le Ministère public dans son ordonnance querellée.</w:t>
      </w:r>
    </w:p>
    <w:p>
      <w:r>
        <w:t>- 21/23 - P/1358/2021 Ces faits ne révèlent ainsi aucun soupçon de faux dans les titres. Quoi qu'il en soit, tel que le Ministère public le relève, il y aurait lieu de renoncer à toute poursuite pénale (art. 52 CP), compte tenu des conséquences peu perceptibles de tels faits. 4.5.3. Il apparaît que les recourants invoquent, pour la première fois devant l'autorité de céans, la réalisation d'une infraction à l'art. 317 CP, sous l'angle de la négligence, à l'encontre du géomètre H______. En tout état de cause, au vu des développements sus- cités, une telle infraction, même par négligence, n'apparaît pas davantage réalisée, dès lors qu'il ne peut être retenu que le précité aurait commis des manquements ayant eu pour effet de tromper les autorités. 4.5.4. L'allégation des recourants selon laquelle l'annonce d'ouverture de chantier déposée en 2021 constituerait également un faux est également nouvelle et est exorbitante à la présente procédure. 4.5.5. Pour le reste, les recourants ne reviennent pas sur la réalisation éventuelle d'une tentative d'escroquerie au procès, dont les conditions n'apparaissent, au demeurant, pas réalisées.</w:t>
      </w:r>
    </w:p>
    <w:p>
      <w:r>
        <w:rPr>
          <w:b/>
        </w:rPr>
        <w:t>E. 5</w:t>
      </w:r>
    </w:p>
    <w:p>
      <w:r>
        <w:t>Aucune autre mesure d’instruction ‒ pas même celles sollicitées par les recourants ‒ n'apparaît propre à modifier l'appréciation des faits qui précède.</w:t>
      </w:r>
    </w:p>
    <w:p>
      <w:r>
        <w:rPr>
          <w:b/>
        </w:rPr>
        <w:t>E. 6</w:t>
      </w:r>
    </w:p>
    <w:p>
      <w:r>
        <w:t>Justifiée, l'ordonnance querellée sera donc confirmée.</w:t>
      </w:r>
    </w:p>
    <w:p>
      <w:r>
        <w:rPr>
          <w:b/>
        </w:rPr>
        <w:t>E. 7</w:t>
      </w:r>
    </w:p>
    <w:p>
      <w:r>
        <w:t>Les recourants, qui succombent, supporteront les frais envers l'État, arrêtés à CHF 1'000.- (art. 428 al. 1 CPP et 13 al. 1 du Règlement fixant le tarif des frais en matière pénale, RTFMP; E 4 10.03).</w:t>
      </w:r>
    </w:p>
    <w:p>
      <w:r>
        <w:rPr>
          <w:b/>
        </w:rPr>
        <w:t>E. 8</w:t>
      </w:r>
    </w:p>
    <w:p>
      <w:r>
        <w:t>Corrélativement, il n'y a pas lieu de leur octroyer une indemnité pour leurs frais d'avocat (art. 433 al. 1 CPP a contrario). * * * * *</w:t>
      </w:r>
    </w:p>
    <w:p>
      <w:r>
        <w:t>- 22/23 - P/1358/2021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