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ACPR/76/2022 vom 14. Oktober 2021</w:t>
      </w:r>
    </w:p>
    <w:p>
      <w:r>
        <w:t>GE Cour de justice, 2021-10-14, FR</w:t>
      </w:r>
    </w:p>
    <w:p>
      <w:r>
        <w:rPr>
          <w:b/>
        </w:rPr>
        <w:t xml:space="preserve">Quelle: </w:t>
      </w:r>
      <w:r>
        <w:t>https://mcp.opencaselaw.ch/entscheid/ge_gerichte_ACPR_76_2022</w:t>
      </w:r>
    </w:p>
    <w:p>
      <w:r>
        <w:t>FR: GE_GERICHTE ACPR/76/2022 du 14 octobre 2021</w:t>
      </w:r>
    </w:p>
    <w:p>
      <w:r>
        <w:t>IT: GE_GERICHTE ACPR/76/2022 del 14 ottobre 2021</w:t>
      </w:r>
    </w:p>
    <w:p>
      <w:pPr>
        <w:pStyle w:val="Heading2"/>
      </w:pPr>
      <w:r>
        <w:t>Erwägungen</w:t>
      </w:r>
    </w:p>
    <w:p>
      <w:r>
        <w:rPr>
          <w:b/>
        </w:rPr>
        <w:t>E. 20</w:t>
      </w:r>
    </w:p>
    <w:p>
      <w:r>
        <w:t>octobre 2021, précisant que cette démarche avait été expressément autorisée par décision du TPAE du 21 octobre 2021. La procédure d'appel est actuellement pendante devant la Chambre pénale d'appel et de révision de la Cour de justice. D. a. À l'appui de son recours, C______ soutient que la situation financière précaire de A______ ne lui permettait pas de couvrir les frais de la procédure par-devant le Tribunal de police. b. Dans ses observations, la présidente du Tribunal de police conclut à l'irrecevabilité du recours. Une curatelle de représentation et de gestion du patrimoine avait été instaurée en faveur de A______, mais cette dernière n'avait pas été privée de l'exercice de ses droits civils et était, à teneur du dossier, capable de discernement. Or, selon les déclarations de la prénommée à l'audience de jugement, elle ne souhaitait pas se constituer partie plaignante et était opposée au dépôt de conclusions civiles. Au fond, elle s'en remettait à son ordonnance, relevant que le recours était déposé par le Service de protection de l'adulte et non par l'avocat désigné par le TPAE, et que les honoraires d'avocat du curateur étaient pris en charge par l'État, conformément au Règlement fixant la rémunération des curateurs (RRC ; E 1 05.15). c. Le Ministère public s'en rapporte à justice. d. C______ réplique que l'ordonnance du TPAE du 11 février 2019 habilitait les curateurs de A______ à déposer une demande d'assistance judiciaire et à s'opposer à une décision de refus de celle-ci. Par ailleurs, le médecin psychiatre de A______ considérait que cette dernière était incapable de se déterminer dans le cadre de la procédure pénale, raison pour laquelle un appel avait été formé en son nom à l'encontre du jugement du Tribunal de police du 20 octobre 2021, sur autorisation du TPAE. L'avocate de A______ pour la procédure pénale, Me J______, n'avait pas été désignée par le TPAE, mais avait été mandatée par les curateurs de la prénommée, sur autorisation de l'autorité de protection de l'adulte. Cette avocate n'intervenait donc pas en qualité de curatrice et ses honoraires ne seraient pas pris en charge par l'État sur la base du RRC. EN DROIT : 1. 1.1. Le recours a été déposé selon la forme et dans le délai prescrits (art. 385 al. 1 et 396 al. 1 CPP) et concerne une ordonnance sujette à recours auprès de la Chambre de céans (art. 393 al. 1 let. b CPP ; ATF 140 IV 202 consid. 2.1 et 2.2 p. 204 s. ; Y. JEANNERET / A. KUHN / C. PERRIER DEPEURSINGE (éds), Commentaire romand : Code de procédure pénale suisse, 2ème éd., Bâle 2019, n. 33 ad art. 393).</w:t>
      </w:r>
    </w:p>
    <w:p>
      <w:r>
        <w:t>- 7/13 - P/2355/2019 1.2. La question de la recevabilité du recours, soulevée par la présidente du Tribunal de police dans ses observations, pourrait en effet se poser. Il est constant que l'acte de recours n'émane pas de A______, mais de son curateur. Par ailleurs, il ressort des déclarations de la prénommée au cours de la procédure qu'elle ne souhaite pas demander la condamnation ni faire valoir des prétentions civiles à l'encontre de D______. Cette position pourrait s'interpréter comme un refus – cas échéant tacite – de recourir contre l'ordonnance querellée, qui rejette une demande d'assistance judiciaire qu'elle n'a elle-même jamais demandée. L'acte de recours, émanant du représentant légal, s'avérerait dès lors en contradiction avec la volonté exprimée par la personne représentée. Point n'est toutefois besoin d'examiner cette question en détail, dès lors qu'elle dépend d'une condition – la capacité de discernement de A______ – qui est également pertinente pour trancher le fond du litige, ainsi que cela sera examiné ci- dessous (cf. consid. 2. infra). Or, dans une telle configuration, il suffit, pour la recevabilité, que les faits déterminants soient allégués de manière concluante ou avec une certaine vraisemblance (cf. ATF 147 IV 188 consid. 1.4 p. 192 ; arrêt du Tribunal fédéral 6B_422/2021 du 1er septembre 2021 consid. 1.4.8, destiné à publication). Tel est le cas en l'espèce puisque, dans sa réplique, le curateur explique que le médecin de A______ était d'avis que cette dernière était incapable de se déterminer dans la procédure pénale. Au stade de la recevabilité, ces allégations paraissent suffisantes, de sorte qu'il sera entré en matière sur le recours déposé par le curateur. 2. Le curateur se plaint d'une violation des art. 29 al. 3 Cst. et 136 al. 1 CPP. 2.1. 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w:t>
      </w:r>
    </w:p>
    <w:p>
      <w:r>
        <w:t>- 8/13 - P/2355/2019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L'art. 136 al. 1 CPP n'exclut cependant pas que le conseil juridique assistant le plaignant au bénéfice de l'assistance judiciaire puisse intervenir également sur les aspects pénaux, qui peuvent avoir une influence sur le principe et la quotité des prétentions civiles. Lorsqu'en revanche le recourant ne fait pas valoir de telles prétentions, il ne peut fonder sa requête d'assistance judiciaire sur l'art. 136 CPP (arrêts du Tribunal fédéral 1B_317/2021 précité consid. 4.1 ; 1B_94/2015 du 26 juin 2015 consid. 2.1). L'art. 137 CPP renvoie par analogie aux art. 133 et 134 CPP pour la désignation, la révocation et le remplacement du conseil juridique gratuit. Selon l'art. 133 al. 1 CPP, le défenseur d'office est désigné par la direction de la procédure compétente au stade considéré. À teneur de l'art. 134 al. 1 CPP, si le motif à l'origine de la défense d'office disparaît, la direction de la procédure révoque le mandat du défenseur désigné. 2.2. Selon l'art. 118 al. 1 CPP, on entend par partie plaignante le lésé qui déclare expressément vouloir participer à la procédure pénale comme demandeur au pénal ou au civil. Une plainte pénale équivaut à une telle déclaration (art. 118 al. 2 CPP). Aux termes de l'art. 120 CPP,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 La renonciation à l'action civile par la partie plaignante constitue un motif de révocation de l'assistance juridique (A. DONATSCH / V. LIEBER / S. SUMMERS / W. WOHLERS (éds), Kommentar zur Schweizerischen Strafprozessordnung (StPO), 3e éd., Zürich 2020, n. 6 ad art. 120 ; Y. JEANNERET / A. KUHN / C. PERRIER DEPEURSINGE (éds), op. cit., n. 9b ad art. 120 et n. 8 ad art. 137 ; comp. avec l'arrêt du Tribunal fédéral 1B_446/2018 du 14 novembre 2018 consid. 4.3 et 4.6). 2.3. Tout comme la constitution de partie plaignante, la renonciation à cette qualité constitue un droit procédural, dont l'exercice dépend de la capacité d'ester en justice de la partie concernée. 2.3.1. Cette question est réglée à l'art. 106 CPP. Conformément à cette disposition, une partie ne peut valablement accomplir des actes de procédure que si elle a l'exercice des droits civils (al. 1). Une personne qui n'a pas l'exercice des droits civils</w:t>
      </w:r>
    </w:p>
    <w:p>
      <w:r>
        <w:t>- 9/13 - P/2355/2019 est représentée par son représentant légal (al. 2). Une personne qui n'a pas l'exercice des droits civils mais qui est capable de discernement peut exercer elle-même ses droits procéduraux de nature strictement personnelle, même contre l'avis de son représentant légal (al. 3). La renonciation à la qualité de partie plaignante selon l'art. 120 CPP est un droit de nature strictement personnelle (A. DONATSCH / V. LIEBER / S. SUMMERS / W. WOHLERS (éds), op. cit., n. 1 ad art. 120 ; cf. aussi Obergericht Berne, BK 16 352 du 31 octobre 2016 consid. 6.4, commenté par G. DROZ in forumpoenale 4/2017 p. 217), qui peut donc être exercé seul par la partie plaignante privée de l'exercice des droits civils, mais capable de discernement. Cette dernière n'a pas besoin de l'accord de son représentant légal, qui ne peut d'ailleurs agir à sa place qu'avec son consentement exprès ou au moins tacite. Lorsque le représentant légal et la partie capable de discernement exercent des droits de manière différente, seuls les actes accomplis par cette dernière doivent être pris en considération (A. DONATSCH / V. LIEBER / S. SUMMERS / W. WOHLERS (éds), op. cit., n. 12 ad art. 106 ; Y. JEANNERET / A. KUHN / C. PERRIER DEPEURSINGE (éds), op. cit., n. 14 ad art. 106 ; ACPR/387/2019 du 24 mai 2019 consid. 1.3.1 et 1.4.1 ; ACPR/515/2019 du 5 juillet 2019 consid. 2.5, tous deux avec références). 2.3.2. Toute personne majeure et capable de discernement a l'exercice des droits civils (art. 13 CC). Est capable de discernement celui qui a la faculté d'agir raisonnablement (art. 16 CC), ce qui comporte deux éléments, un élément intellectuel, soit la capacité d'apprécier le sens, l'opportunité et les effets d'un acte déterminé, et un élément volontaire ou caractériel, soit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144 III 264 consid. 6.1.1 p. 271 ; 134 II 235 consid. 4.3.2 p. 239).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p. 240 s.). Cette présomption d'incapacité de discernement concerne les personnes qui, au moment de l'acte, se trouvent dans un état durable d'altération mentale liée à l'âge ou à la maladie, par exemple : une démence avancée de type Alzheimer ; une démence d'origine vasculaire, avec des difficultés à saisir les conséquences de ses actes ; un syndrome psycho-organique sévère ; une démence sénile de type Alzheimer ; un syndrome démentiel mixte d'une personne âgée de 82 ans ; ou un symptôme de</w:t>
      </w:r>
    </w:p>
    <w:p>
      <w:r>
        <w:t>- 10/13 - P/2355/2019 démence sénile de type Alzheimer, avec des perturbations de mémoire et de pensée (cf. arrêt du Tribunal fédéral 5A_951/2016 du 14 septembre 2017 consid. 3.1.3.1). En revanche, l'incapacité d'agir raisonnablement n'est pas présumée et doit être prouvée (preuve principale) lorsque la personne se voit administrer périodiquement des médicaments et souffre d'une désorientation spatio-temporelle, lorsque, dans un âge avancé, elle est simplement fragile, atteinte dans sa santé physique et temporairement confuse, lorsqu'elle souffre d'absences consécutives à une attaque cérébrale ou qu'elle est simplement confrontée à des trous de mémoire liés à l'âge (cf. arrêt du Tribunal fédéral 5A_325/2017 du 18 octobre 2017 consid. 6.1.3.1). Un syndrome psycho-organique avec diminution moyenne des capacités cognitives et de volonté a été reconnu comme un cas limite, dans lequel la capacité de discernement devait toutefois encore être admise, compte tenu du caractère hautement personnel de l'acte (successoral) en cause et des intérêts en jeu (cf. arrêt du Tribunal fédéral 6B_869/2010 du 16 septembre 2011 consid. 4.3). 2.4. En l'espèce, le curateur de A______ a déposé, au nom de cette dernière, des conclusions civiles à l'encontre D______, tendant notamment au paiement d'une indemnité pour tort moral. Lors de l'audience du 20 octobre 2021 devant le Tribunal de police, A______ a toutefois déclaré ne pas vouloir demander un seul franc au prénommé, ce qui ne peut raisonnablement s'interpréter que comme une renonciation à sa qualité de partie plaignante, à tout le moins s'agissant de l'action civile. Savoir lequel de ces deux actes doit être pris en compte a une influence directe sur l'issue du litige, car l'assistance juridique ne peut être octroyée à la partie plaignante que pour autant qu'elle fasse valoir des prétentions civiles déduites de l'infraction (cf. art. 136 al. 1 CPP). Le fait que la renonciation soit en l'occurrence postérieure à l'ordonnance querellée, qui date du 14 octobre 2021, ne change rien à ce qui précède : à supposer valable, une telle renonciation serait définitive (cf. art. 120 al. 1, 2e phrase CPP) et exclurait toute assistance juridique, ce qui entraînerait nécessairement le rejet du recours. Reste donc à déterminer laquelle de ces déclarations contradictoires doit l'emporter sur l'autre. Ainsi qu'il a été vu ci-dessus (cf. consid. 2.3.1. supra), cette question dépend de la capacité de discernement de A______, qui est en principe présumée, à moins qu'elle ne se trouve dans un état durable d'altération mentale liée à l'âge ou à la maladie. En l'occurrence, au jour de l'audience de jugement, la prénommée était âgée de 84 ans. En dépit de cet âge avancé, elle est apparue cohérente dans ses propos et parfaitement lucide, ainsi que cela ressort de la note de la présidente du Tribunal de police au procès-verbal et de sa lettre du 21 octobre 2021 au Service de protection de l'adulte.</w:t>
      </w:r>
    </w:p>
    <w:p>
      <w:r>
        <w:t>- 11/13 - P/2355/2019 Aucun autre élément au dossier ne permet de douter du fait que A______ disposait de sa capacité de discernement lors de l'audience de jugement. Le rapport d'évaluation neuropsychologique du 2 juillet 2019 concluait certes à l'existence d'une démence débutante compatible avec une maladie d'Alzheimer. Toutefois, il retenait aussi que cette pathologie touchait à la mémoire épisodique et aux fonctions "visuoconstructives", mais qu'elle épargnait la plupart des autres fonctions cognitives. On se rapproche donc plus de l'hypothèse d'une démence débutante, avec désorientation spatiale et trous de mémoire, que de celle d'une démence sénile avancée, avec perturbations importantes de la pensée ou difficultés à saisir les conséquences de ses actes. Il est dès lors douteux que l'intéressée se trouvait véritablement dans un état durable d'altération mentale (cf. consid. 2.3.2. supra), qui permettrait de présumer son incapacité de discernement. Surtout, les auteurs du rapport relevaient que A______ avait encore ses capacités de jugement, notamment une bonne appréhension des enjeux et de la responsabilité personnelle, et ne dénotaient pas d'altération importante de ses fonctions volitives. Les éléments intellectuel et volontaire de la capacité de discernement paraissaient alors réunis. Si, au moment de l'audience de jugement, le rapport d'évaluation neuropsychologique remontait à plus de deux ans, la Chambre de céans ne dispose toutefois d'aucun élément permettant de dire que ses conclusions ne seraient plus d'actualité, respectivement que l'état de santé de A______ se serait entretemps détérioré. Son curateur ne le prétend du reste pas spécifiquement, se contentant de renvoyer – de manière générale – à l'avis du médecin psychiatre de la prénommée, qui considérait que sa patiente était incapable de se déterminer dans le cadre de la procédure pénale. Il fait vraisemblablement référence à l'e-mail et au certificat médical du Dr E______, dans lesquels ce dernier affirmait que l'état de A______, qui présentait une dépendance à son compagnon, ne lui permettait pas d'être entendue dans le cadre de la procédure. En l'absence d'autre indication, cette seule affirmation ne suffit toutefois pas à mettre en doute les propres constatations du Tribunal de police à l'audience de jugement, notamment quant à la lucidité de l'intéressée lors de sa déposition. Cette lucidité se retrouvait déjà dans le rapport d'évaluation neuropsychologique du 2 juillet 2019, qui relevait que A______ livrait un récit factuel, froid et détaché des évènements avec D______, tout en portant un jugement nuancé sur sa relation avec ce dernier. Le caractère constant des explications fournies par la prénommée aux auteurs du rapport, à la police, puis enfin au Tribunal de première instance, plaide également en faveur de sa capacité de discernement. On peut encore préciser que, dans ses décisions, le TPAE a seulement institué une curatelle de représentation en faveur de A______, sans toutefois limiter en conséquence l'exercice de ses droits civils (cf. art. 394 al. 2 CC). Enfin, eu égard au caractère relatif de la capacité de discernement, la Chambre de céans note que la déclaration litigieuse est intervenue à la suite de questions et d'explications de la part de la présidente du Tribunal de police, qui ressortent</w:t>
      </w:r>
    </w:p>
    <w:p>
      <w:r>
        <w:t>- 12/13 - P/2355/2019 clairement du procès-verbal (p. 12). Dans ce contexte, rien n'indique que A______ n'aurait pas saisi la portée de ses propos, sur une question – les conclusions en paiement déposées contre le prévenu – qui ne présentait pas de complexité particulière. Il s'ensuit que la prénommée disposait bien de sa capacité de discernement au moment de renoncer à sa qualité de partie plaignante, à tout le moins s'agissant de l'aspect civil, lors de l'audience du 20 octobre 2021. Cette renonciation, valablement exprimée, a pour conséquence que l'une des conditions d'octroi de l'assistance judiciaire de la partie plaignante fait défaut. Partant, le grief de violation des art. 29 al. 3 Cst. et 136 al. 1 CPP doit être rejeté. Autre est la question de savoir si, au moment des faits, la prénommée disposait de la capacité de discernement nécessaire pour consentir à la lésion – ou plutôt à la mise en danger (cf. ATF 131 IV 1 consid. 3.1 p. 7 s. ; 134 IV 193 consid. 9 p. 207 ss) – de sa propre intégrité corporelle, et si les autres conditions de validité d'un tel consentement, notamment son caractère libre et éclairé (S. TRECHSEL / M. PIETH (éds), Schweizerisches Strafgesetzbuch : Praxiskommentar, 4e éd., Zurich 2021, n. 11 ad art. 14), étaient en l'occurrence remplies. 3. Justifiée, l'ordonnance querellée sera donc confirmée, sans qu'il soit nécessaire d'examiner les autres griefs liés à l'application du RRC. 4. Les frais de la procédure de recours resteront à la charge de l'État (art. 20 RAJ). * * * * *</w:t>
      </w:r>
    </w:p>
    <w:p>
      <w:r>
        <w:t>- 13/13 - P/2355/2019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