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ACPR/769/2024 vom 29. September 2024</w:t>
      </w:r>
    </w:p>
    <w:p>
      <w:r>
        <w:t>GE Cour de justice, 2024-09-29, FR</w:t>
      </w:r>
    </w:p>
    <w:p>
      <w:r>
        <w:rPr>
          <w:b/>
        </w:rPr>
        <w:t xml:space="preserve">Quelle: </w:t>
      </w:r>
      <w:r>
        <w:t>https://mcp.opencaselaw.ch/entscheid/ge_gerichte_ACPR_769_2024</w:t>
      </w:r>
    </w:p>
    <w:p>
      <w:r>
        <w:t>FR: GE_GERICHTE ACPR/769/2024 du 29 septembre 2024</w:t>
      </w:r>
    </w:p>
    <w:p>
      <w:r>
        <w:t>IT: GE_GERICHTE ACPR/769/2024 del 29 settembre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À titre liminaire, il est rappelé que la Chambre de céans, en tant qu'autorité de recours, possède un plein pouvoir d'examen en fait et en droit et n'est pas liée par les motifs invoqués par les parties (art. 391 al. 1 let. a CPP) ou la motivation de l'autorité précédente dont elle à connaître des décisions, le seul principe applicable en la matière étant celui de la vérité matérielle objective et de la légalité (art. 7 CPP).</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les charges dans la procédure P/5031/2023 se sont alourdies depuis la mise en liberté du recourant le 31 mai 2023, puisque plusieurs nouvelles infractions lui sont désormais reprochées (cf B.d.). Ces charges se sont renforcées avec la nouvelle prévention du 27 septembre 2024 pour vol (cf. B.e. à h.). Le recourant conteste ledit vol. Selon le rapport de police, les images de vidéosurveillance – dont l'une montre le recourant prendre le tram – ont conduit à l'interpellation de celui-ci dès lors qu'il portait des chaussures, une sacoche et une casquette identiques à celles du voleur. Ces circonstances suffisent, à ce stade initial de la procédure, à faire peser sur lui de forts soupçons de vol. Sur ce point, il n'est en l'état pas déterminant que le plaignant ait déclaré ne pas connaître l'identité du recourant, voire ne l'ait pas reconnu lors de l'audience de confrontation. En outre, il ne saurait en l'état être considéré, comme le fait le recourant, que la sacoche était abandonnée ni qu'il s'agirait d'un vol d'importance mineure compte tenu du montant effectivement dérobé [CHF 200.-]. Il est en effet douteux qu'en volant la sacoche,</w:t>
      </w:r>
    </w:p>
    <w:p>
      <w:r>
        <w:t>- 7/11 - P/5031/2023 l'intéressé n'ait envisagé qu'un élément patrimonial de faible valeur (Y. JEANNERET/ A. KUHN/ C. PERRIER DEPEURSINGE (éds), Commentaire romand : Code de procédure pénale suisse, 2ème éd., Bâle 2019, n. 12 ad art. 172ter CP). En outre, il aurait volé une carte bancaire ayant été utilisée par la suite pour effectuer des achats frauduleux. Ses antécédents, notamment spécifiques, ne sauraient non plus être ignorés. Par conséquent, le grief est infondé.</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recourant est de nationalité étrangère, sans aucune attache en Suisse ni autorisation de séjour. Les circonstances dans lesquelles le risque de fuite a été écarté par le Tribunal fédéral dans son arrêt du 26 mai 2023 (cf. B.c.) ont évolué puisque, depuis sa libération, l'intéressé a été interpellé à cinq reprises, non seulement pour des infractions contre le patrimoine [deux vols], mais aussi pour avoir frappé et mordu un autre résident du foyer dans lequel il vivait, s'être exhibé, avoir injurié ainsi que menacé de mort une serveuse d'un restaurant. Il s'y ajoute une nouvelle plainte déposée par celle-ci, dans laquelle elle reproche au recourant d'être revenu, à trois reprises, au restaurant et l'avoir à nouveau injuriée et menacée. Ces nouvelles charges permettent de revoir à la hausse le risque de fuite. Il est en effet désormais à craindre, vu l'aggravation des charges et la peine privative de liberté d'ensemble susceptible d'être prononcée, que le prévenu – qui conteste en grande partie les faits reprochés – se soustraie aux audiences à venir. Dans un tel contexte, le fait de vivre au Foyer H______ n'est pas un gage de représentation. Son traitement médical – avec des rendez-vous qu'il est libre ou pas d'honorer – ne permet pas non plus de garantir sa présence pendant la procédure pénale. Le prévenu pourrait, pour s'y soustraire, entrer dans la clandestinité. C'est donc à bon droit que l'autorité précédente a retenu un risque de fuite.</w:t>
      </w:r>
    </w:p>
    <w:p>
      <w:r>
        <w:t>- 8/11 - P/5031/2023</w:t>
      </w:r>
    </w:p>
    <w:p>
      <w:r>
        <w:rPr>
          <w:b/>
        </w:rPr>
        <w:t>E. 5</w:t>
      </w:r>
    </w:p>
    <w:p>
      <w:r>
        <w:t>Le recourant conteste tout risque de réitération.</w:t>
      </w:r>
    </w:p>
    <w:p>
      <w:r>
        <w:rPr>
          <w:b/>
        </w:rPr>
        <w:t>E. 5.1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5.2</w:t>
      </w:r>
    </w:p>
    <w:p>
      <w:r>
        <w:t>En l'espèce, force est de constater que depuis sa mise en liberté, le 31 mai 2023, le recourant – déjà prévenu de vol, dommages à la propriété et violence ou menace contre les autorités et les fonctionnaires – est fortement soupçonné d'avoir commis de nouvelles infractions, en particulier deux nouveaux vols ainsi que d'avoir blessé un résident de son foyer et menacé de mort, le 30 octobre 2023, E______. Or, les lésions corporelles simples protègent l'intégrité corporelle et la santé, tant physique que psychique (M. DUPUIS / L. MOREILLON / C. PIGUET / S. BERGER / M. MAZOU / V. RODIGARI (éds), Code pénal - Petit commentaire, 2e éd., Bâle 2017, n 3 ad rem. prél. art. 122-126 CP). En ce qui concerne les menaces de mort, elles constituent un délit grave en tant qu'elles portent atteinte à la paix intérieure et au sentiment de sécurité des personnes auxquelles elles sont adressées (M. DUPUIS / L. MOREILLON / C. PIGUET / S. BERGER / M. MAZOU / V. RODIGARI (éds), op. cit., n. 2 ad art. 180 CP). Une telle accélération de l'activité délictuelle – augmentant également en intensité [menaces de mort notamment] – est inquiétante sous l'angle de la sécurité publique et permet de redouter la commission d'actes plus graves. Cette préoccupation est renforcée par les multiples antécédents du recourant et le sentiment d'impunité qu'il semble ressentir, l'intéressé ayant récidivé après chacune de ses remises en liberté et faisant désormais l'objet d'une seconde plainte de E______ pour d'autres menaces commises entre juin et juillet 2024. Si le Tribunal fédéral a estimé, le 31 mai 2023, que les actes alors commis par le recourant ne justifiaient pas son placement en</w:t>
      </w:r>
    </w:p>
    <w:p>
      <w:r>
        <w:t>- 9/11 - P/5031/2023 détention provisoire, on se trouve, près de dix-huit mois plus tard, en présence d'un prévenu soupçonné de diverses infractions, dont on ne peut considérer qu'elles constituent des cas bagatelles dont la société peut s'accommoder. La sécurité de tiers est désormais compromise. Il y a donc bien un risque de réitération.</w:t>
      </w:r>
    </w:p>
    <w:p>
      <w:r>
        <w:rPr>
          <w:b/>
        </w:rPr>
        <w:t>E. 6</w:t>
      </w:r>
    </w:p>
    <w:p>
      <w:r>
        <w:t>Compte tenu de l'importance de ces risques, aucune mesure de substitution – que le recourant ne propose au demeurant pas – ne serait susceptible de les pallier.</w:t>
      </w:r>
    </w:p>
    <w:p>
      <w:r>
        <w:rPr>
          <w:b/>
        </w:rPr>
        <w:t>E. 7</w:t>
      </w:r>
    </w:p>
    <w:p>
      <w:r>
        <w:t>La durée de la détention provisoire subie à ce jour reste compatible avec le principe de la proportionnalité, si l'ensemble des soupçons du Ministère public devait se voir confirmer, ce d'autant que l'instruction semble pouvoir se terminer à brève échéance. Enfin, aucun élément ne permettrait de considérer qu'il ne bénéficierait pas d'un suivi médical adéquat en détention – le recourant ne le démontrant au demeurant pas –.</w:t>
      </w:r>
    </w:p>
    <w:p>
      <w:r>
        <w:rPr>
          <w:b/>
        </w:rPr>
        <w:t>E. 8</w:t>
      </w:r>
    </w:p>
    <w:p>
      <w:r>
        <w:t>Le recours s'avère ainsi infondé et doit être rejeté.</w:t>
      </w:r>
    </w:p>
    <w:p>
      <w:r>
        <w:rPr>
          <w:b/>
        </w:rPr>
        <w:t>E. 9</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r>
        <w:t>- 10/11 - P/5031/2023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