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ACPR/768/2025 vom 21. Mai 2025</w:t>
      </w:r>
    </w:p>
    <w:p>
      <w:r>
        <w:t>GE Cour de justice, 2025-05-21, FR</w:t>
      </w:r>
    </w:p>
    <w:p>
      <w:r>
        <w:rPr>
          <w:b/>
        </w:rPr>
        <w:t xml:space="preserve">Quelle: </w:t>
      </w:r>
      <w:r>
        <w:t>https://mcp.opencaselaw.ch/entscheid/ge_gerichte_ACPR_768_2025</w:t>
      </w:r>
    </w:p>
    <w:p>
      <w:r>
        <w:t>FR: GE_GERICHTE ACPR/768/2025 du 21 mai 2025</w:t>
      </w:r>
    </w:p>
    <w:p>
      <w:r>
        <w:t>IT: GE_GERICHTE ACPR/768/2025 del 21 maggio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- 5/9 - P/4521/2025</w:t>
      </w:r>
    </w:p>
    <w:p>
      <w:r>
        <w:rPr>
          <w:b/>
        </w:rPr>
        <w:t>E. 1.2</w:t>
      </w:r>
    </w:p>
    <w:p>
      <w:r>
        <w:t>Il en va de même des pièces nouvelles produites à l'appui de cet acte (arrêt du Tribunal fédéral 1B_550/2022 du 17 novembre 2022 consid. 2.1).</w:t>
      </w:r>
    </w:p>
    <w:p>
      <w:r>
        <w:rPr>
          <w:b/>
        </w:rPr>
        <w:t>E. 2</w:t>
      </w:r>
    </w:p>
    <w:p>
      <w:r>
        <w:t>La recourante conteste la décision du Ministère public de ne pas entrer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2.2</w:t>
      </w:r>
    </w:p>
    <w:p>
      <w:r>
        <w:t>Une configuration dans laquelle l'accusation repose essentiellement sur les déclarations de la victime, auxquelles s'opposent celles du prévenu, exclut en principe une décision de non-entrée en matière, lorsqu'il n'est pas possible d'estimer que certaines dépositions sont plus crédibles que d'autres (ATF 143 IV 241 consid. 2.2.2; arrêts du Tribunal fédéral 6B_766/2018 du 28 septembre 2018 consid. 3.1; 6B_1177/2017 du 16 avril 2018 consid. 2.1). Cela vaut en particulier lorsqu'il s'agit de délits commis typiquement "entre quatre yeux" pour lesquels il n'existe souvent aucune preuve objective. Il peut toutefois exceptionnellement être renoncé à une mise en accusation lorsque la partie plaignante fait des dépositions contradictoires, rendant ses accusations moins crédibles, qu'aucun résultat n'est à escompter d'autres moyens de preuve, ou encore lorsqu'une condamnation apparaît au vu de l'ensemble des circonstances a priori improbable pour d'autres motifs (ATF 143 IV 241 consid. 2.2.2; arrêts du Tribunal fédéral 6B_174/2019 du 21 février 2019 consid. 2.2 et 6B_874/2017 du 18 avril 2018 consid. 5.1).</w:t>
      </w:r>
    </w:p>
    <w:p>
      <w:r>
        <w:t>- 6/9 - P/4521/2025</w:t>
      </w:r>
    </w:p>
    <w:p>
      <w:r>
        <w:rPr>
          <w:b/>
        </w:rPr>
        <w:t>E. 2.3</w:t>
      </w:r>
    </w:p>
    <w:p>
      <w:r>
        <w:t>Commet un viol (art. 190 al. 1 CP) quiconque, contre la volonté d’une personne, commet sur elle ou lui fait commettre l’acte sexuel ou un acte analogue qui implique une pénétration du corps ou profite à cette fin d’un état de sidération d’une personne.</w:t>
      </w:r>
    </w:p>
    <w:p>
      <w:r>
        <w:rPr>
          <w:b/>
        </w:rPr>
        <w:t>E. 2.4</w:t>
      </w:r>
    </w:p>
    <w:p>
      <w:r>
        <w:t>L'art. 191 CP réprime le comportement de quiconque profite du fait qu’une personne est incapable de discernement ou de résistance pour lui faire commettre ou subir l’acte sexuel, un acte analogue ou un autre acte d’ordre sexuel. Cette disposition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(arrêt du Tribunal fédéral 6B_322/2021 du 2 mars 2022 consid. 3.3).</w:t>
      </w:r>
    </w:p>
    <w:p>
      <w:r>
        <w:rPr>
          <w:b/>
        </w:rPr>
        <w:t>E. 2.5</w:t>
      </w:r>
    </w:p>
    <w:p>
      <w:r>
        <w:t>En l'espèce, il est admis que les parties ont partagé un dîner le soir du 17 septembre 2024 chez le mis en cause, repas durant lequel la recourante a – de son plein gré – bu au moins un verre d'alcool. Leurs versions divergent par la suite. La recourante allègue s'être allongée sur le lit, dans un état second, avant d'enlever son pull et d'avoir été embrassée par le mis en cause. Elle ne conserve aucun autre souvenir – hormis de s'être déshabillée elle-même – jusqu'à son réveil, dans sa propre chambre. De son côté, l'intéressé affirme que la recourante a quitté les lieux après s'être volontairement dénudée devant lui, entrainant de sa part une tentative pour se dérober de la situation. Si la recourante a mentionné, compte tenu des démangeaisons qu'elle dit avoir ressenties au niveau des parties intimes, qu'elle pensait avoir subi un rapport sexuel non consenti, elle n'a, à aucun moment, fourni le moindre détail à ce propos, si ce n'est d'avoir, selon elle, été pénétrée. Ce ressenti est contredit par le mis en cause, qui nie tout rapprochement physique avec l'intéressée, et n'est corroboré par aucun élément concret. Au contraire, les résultats de l'examen médical de la recourante – réalisé deux jours après les faits et dont l'essentiel est résumé dans le rapport de renseignements du 14 février 2025 – n'ont fait état d'aucune lésion vaginale. En outre, les examens toxicologiques se sont tous révélés négatifs. L'intéressée ne s'explique également pas comment elle s'est retrouvée, le lendemain, habillée chez elle, un étage plus haut. Les deux assistantes sociales entendues ont certes confirmé avoir recueilli les déclarations de la recourante. Il s'agit toutefois de discours rapportés, qui contiennent d'ailleurs quelques divergences. Elles n'ont pas été témoins directs des événements dénoncés et leurs avis exprimés au sujet de la valeur des propos de la recourante (ou de la culpabilité du mis en cause) sont purement personnels.</w:t>
      </w:r>
    </w:p>
    <w:p>
      <w:r>
        <w:t>- 7/9 - P/4521/2025 Compte tenu de ce qui précède, il n'existe aucun indice permettant de considérer l'existence d'un rapport intime entre les parties le soir des faits, et encore moins d'un rapport sexuel qui n'aurait pas été consenti par la recourante. Partant, le mis en cause ne saurait être soupçonné, sur la base d'un simple ressenti, d'avoir passé outre le consentement de la recourante ou d'avoir profité d'une incapacité de discernement ou de résistance de celle-ci, laquelle, comme on l'a vu, n'est également pas avérée. Dans cette mesure, les actes d'enquête sollicités par la recourante n'apparaissent pas susceptibles d'apporter d'éléments probants, d'autant que la version des parties est déjà connue et rien ne laisse à penser qu'elles changeront avec une nouvelle audition. Même dans l'hypothèse où la recourante aurait vécu une "mauvaise expérience", selon ses termes, le soir en question, ayant pu entrainer les symptômes décrits par les témoins ou dans les nouvelles pièces produites avec le recours, l'absence du moindre détail sur le déroulement des faits ne permet pas de retenir que les éléments constitutifs des infractions dénoncées seraient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et sa demande d'assistance judiciaire gratuite rejetée, le recours étant voué à l'échec pour les motifs précédemment exposés (art. 136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