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ACPR/767/2019 vom 4. Juli 2019</w:t>
      </w:r>
    </w:p>
    <w:p>
      <w:r>
        <w:t>GE Cour de justice, 2019-07-04, FR</w:t>
      </w:r>
    </w:p>
    <w:p>
      <w:r>
        <w:rPr>
          <w:b/>
        </w:rPr>
        <w:t xml:space="preserve">Quelle: </w:t>
      </w:r>
      <w:r>
        <w:t>https://mcp.opencaselaw.ch/entscheid/ge_gerichte_ACPR_767_2019</w:t>
      </w:r>
    </w:p>
    <w:p>
      <w:r>
        <w:t>FR: GE_GERICHTE ACPR/767/2019 du 4 juillet 2019</w:t>
      </w:r>
    </w:p>
    <w:p>
      <w:r>
        <w:t>IT: GE_GERICHTE ACPR/767/2019 del 4 luglio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considère que le comportement de la mise en cause serait constitutif d'abus d'autorité.</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p. 287 et les références citées).</w:t>
      </w:r>
    </w:p>
    <w:p>
      <w:r>
        <w:t>- 7/11 - P/2810/2019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w:t>
      </w:r>
    </w:p>
    <w:p>
      <w:r>
        <w:rPr>
          <w:b/>
        </w:rPr>
        <w:t>E. 3.2</w:t>
      </w:r>
    </w:p>
    <w:p>
      <w:r>
        <w:t>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R. PFISTER-LIECHTI (éd.), La procédure pénale fédérale, Fondation pour la formation continue des juges suisses, Berne 2010, p. 62).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n. 10 ad art. 310).</w:t>
      </w:r>
    </w:p>
    <w:p>
      <w:r>
        <w:rPr>
          <w:b/>
        </w:rPr>
        <w:t>E. 4.1</w:t>
      </w:r>
    </w:p>
    <w:p>
      <w:r>
        <w:t>L'art. 312 CP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Cette disposition protège, d'une part, l'intérêt de l'État à disposer de fonctionnaires loyaux qui utilisent les pouvoirs qui leur ont été conférés en ayant conscience de leur devoir et, d'autre part,</w:t>
      </w:r>
    </w:p>
    <w:p>
      <w:r>
        <w:t>- 8/11 - P/2810/2019 l'intérêt des citoyens à ne pas être exposés à un déploiement de puissance étatique incontrôlé et arbitraire (ATF 127 IV 209 consid. 1b).</w:t>
      </w:r>
    </w:p>
    <w:p>
      <w:r>
        <w:rPr>
          <w:b/>
        </w:rPr>
        <w:t>E. 4.2</w:t>
      </w:r>
    </w:p>
    <w:p>
      <w:r>
        <w:t>Sur le plan objectif, l'infraction réprimée par cette disposition suppose que l'auteur soit un membre d'une autorité ou un fonctionnaire au sens de l'art. 110 al. 3 CP – il peut aussi s'agir d'un fonctionnaire au sens fonctionnel, en ce sens que la personne exerce une tâche de droit public (ATF 135 IV 201 s. consid. 3.3; 121 IV 220 consid. 3a) –, qu'il ait agi dans l'accomplissement de sa tâche officielle et qu'il ait abusé des pouvoirs inhérents à cette tâche. Cette dernière condition est réalisée lorsque l'auteur use illicitement des pouvoirs qu'il détient de sa charge, c'est- à-dire lorsqu'il décide ou contraint en vertu de sa charge officielle dans un cas où il ne lui était pas permis de le faire (ATF 127 IV 209 consid. 1a/aa; 114 IV 41 consid. 2; 113 IV 29 consid. 1). L'infraction peut aussi être réalisée lorsque l'auteur poursuit un but légitime, mais recourt, pour l'atteindre, à des moyens disproportionnés (ATF 113 IV 29 consid. 1; 104 IV 22 consid. 2). L'abus est davantage qu'une simple violation des devoirs de service ; il suppose une violation insoutenable des règles applicables (ATF 114 IV 41 consid. 2). Il ne suffit pas, pour conclure à l'existence d'un abus, qu'une autorité supérieure ou de recours ait constaté que le fonctionnaire avait violé ses devoirs ou excédé ses compétences. Il n'est pas facile de tracer la limite à partir de laquelle on peut parler d'abus, mais les exigences subjectives sont également de nature à éviter que cette disposition ne soit appliquée à la moindre faute de service (B. CORBOZ, Les infractions en droit suisse, vol. II, 3e éd., Berne 2010, n. 6 ad art. 312 CP et le références citées).</w:t>
      </w:r>
    </w:p>
    <w:p>
      <w:r>
        <w:rPr>
          <w:b/>
        </w:rPr>
        <w:t>E. 4.3</w:t>
      </w:r>
    </w:p>
    <w:p>
      <w:r>
        <w:t>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(arrêts du Tribunal fédéral 6B_1351/2017 du 18 avril 2018 consid. 4.2 ; 6B_1012/2017 du 23 mars 2018 consid. 1.1 et les références citées). Il faut admettre que l'auteur nuit à autrui dès qu'il utilise des moyens excessifs, même s'il poursuit un but légitime. Le motif pour lequel l'auteur agit est ainsi sans pertinence sur l'intention, mais a trait à l'examen de la culpabilité (arrêts du Tribunal fédéral 6B_1012/2017 du 23 mars 2018 consid. 1 ; 6B_923/2015 du 24 mai 2016 consid. 2.2 et les références citées). La jurisprudence retient un dessein de nuire dès que l'auteur cause, par dol ou dol éventuel, un préjudice non négligeable (arrêts du Tribunal fédéral 6B_987/2015 du 7 mars 2016 consid. 2.6 ; 6B_831/2011 du 14 février 2012 consid. 1.4.2 ; 6S_885/2000 du 26 février 2002 consid. 4a/bb ; ATF 99 IV 13).</w:t>
      </w:r>
    </w:p>
    <w:p>
      <w:r>
        <w:rPr>
          <w:b/>
        </w:rPr>
        <w:t>E. 4.4</w:t>
      </w:r>
    </w:p>
    <w:p>
      <w:r>
        <w:t>En l'espèce, la recourante se considère comme victime d'une vindicte personnelle de la mise en cause, laquelle ferait une "fixation" sur elle et serait déterminée à la sanctionner et à l'exclure de tous marchés publics. Or, force est de constater que les actes reprochés à cette dernière entraient indubitablement dans ses fonctions. Elle a en effet expliqué, de façon circonstanciée, le contexte dans lequel elle avait, au nom de l'OCIRT, et en concertation avec ses collègues, prononcé la</w:t>
      </w:r>
    </w:p>
    <w:p>
      <w:r>
        <w:t>- 9/11 - P/2810/2019 décision du 4 décembre 2017 – cosignée par E______ – ayant précisé avoir été amenée à sanctionner la recourante après que de nombreuses irrégularités eurent été constatées au sein de l'entreprise et à la suite de plaintes émanant des collaborateurs de celle-ci. Il ressort des pièces produites au dossier que l'avertissement prononcé à l'encontre de la recourante le 31 octobre 2017 a été rédigé et signé par D______ et non par B______, que l'Office a déjà été amené à intervenir, dès 2007, en raison de manquements constatés au sein de l'entreprise, et que des avertissements, de même que des sanctions administratives, ont été prononcés dans ce contexte. Il y a lieu de relever à cet égard que lesdites sanctions ont manifestement été prononcées à l'encontre de la recourante par une personne autre que B______, puisque cette dernière est entrée en fonction au sein de l'OCIRT le 1er mars 2015. Il ressort, par ailleurs, de l'arrêt de la Chambre administrative de la Cour de justice du 19 juin 2018, que la recourante a violé ses obligations découlant de l'art. 6 LTr, n'ayant pas fourni de dispositif de prévention des risques psychosociaux, tel que requis dans le délai fixé par l'OCIRT. La durée du refus de délivrer l'attestation visée par l'art. 25 LIRT, sanctionnant l'infraction de la recourante, a certes été réduite mais néanmoins fixée au double du minimum prévu par la loi, soit à six mois (art. 45 al. 1 let. a LIRT), et l'exclusion de tous marchés publics annulée. L'admission partielle du recours contre ladite sanction ne signifie, au demeurant, pas que la mise en cause aurait usé de manière illicite des pouvoirs de sa charge de directrice de l'OCIRT. Force est également de constater, au vu de l'ensemble des pièces produites, qu'aucun lien n'est discernable entre la prise de connaissance du courrier de la recourante du 12 septembre 2017 par la mise en cause et la sanction prononcée. Enfin, le fait que ladite sanction soit intervenue rapidement après la prise de position de la recourante n'est pas non plus un indice de l'intention de nuire de la mise en cause, celle-ci ayant agi dans le cadre des pouvoirs qui lui étaient conférés. Au vu de l'ensemble de ces éléments, il apparaît que la mise en cause a bien agi dans le cadre de la loi applicable et sans excéder ses prérogatives. Rien ne permet non plus de penser que la mise en cause aurait eu l'intention de nuire à la recourante, le simple ressenti de cette dernière n'étant pas suffisant. Les éléments constitutifs de l'abus d'autorité ne sont, partant, pas réunis en l'espèce. Enfin, les actes d’enquête sollicités par la recourante n’apparaissent pas susceptibles d’apporter des éléments supplémentaires permettant de modifier cette appréciation.</w:t>
      </w:r>
    </w:p>
    <w:p>
      <w:r>
        <w:rPr>
          <w:b/>
        </w:rPr>
        <w:t>E. 5</w:t>
      </w:r>
    </w:p>
    <w:p>
      <w:r>
        <w:t>Justifiée, l'ordonnance querellée sera donc confirmée.</w:t>
      </w:r>
    </w:p>
    <w:p>
      <w:r>
        <w:rPr>
          <w:b/>
        </w:rPr>
        <w:t>E. 6</w:t>
      </w:r>
    </w:p>
    <w:p>
      <w:r>
        <w:t>La recourante, qui succombe, supportera les frais envers l'État, qui seront arrêtés à CHF 1'500.- (art. 428 al. 1 CPP et 13 al. 1 du Règlement fixant le tarif des frais en matière pénale, RTFMP ; E 4 10.03). * * * * *</w:t>
      </w:r>
    </w:p>
    <w:p>
      <w:r>
        <w:t>- 10/11 - P/2810/2019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