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ACPR/765/2023 vom 3. Oktober 2023</w:t>
      </w:r>
    </w:p>
    <w:p>
      <w:r>
        <w:t>GE Cour de justice, 2023-10-03, FR</w:t>
      </w:r>
    </w:p>
    <w:p>
      <w:r>
        <w:rPr>
          <w:b/>
        </w:rPr>
        <w:t xml:space="preserve">Quelle: </w:t>
      </w:r>
      <w:r>
        <w:t>https://mcp.opencaselaw.ch/entscheid/ge_gerichte_ACPR_765_2023</w:t>
      </w:r>
    </w:p>
    <w:p>
      <w:r>
        <w:t>FR: GE_GERICHTE ACPR/765/2023 du 3 octobre 2023</w:t>
      </w:r>
    </w:p>
    <w:p>
      <w:r>
        <w:t>IT: GE_GERICHTE ACPR/765/2023 del 3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- 6/9 - P/620/2021</w:t>
      </w:r>
    </w:p>
    <w:p>
      <w:r>
        <w:rPr>
          <w:b/>
        </w:rPr>
        <w:t>E. 2</w:t>
      </w:r>
    </w:p>
    <w:p>
      <w:r>
        <w:t>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w:t>
      </w:r>
    </w:p>
    <w:p>
      <w:r>
        <w:rPr>
          <w:b/>
        </w:rPr>
        <w:t>E. 2.2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w:t>
      </w:r>
    </w:p>
    <w:p>
      <w:r>
        <w:t>- 7/9 - P/620/2021 122 IV 322 consid. 1a ; arrêts du Tribunal fédéral 6B_1116/2021 du 22 juin 2022 consid. 2.1 ; 6B_1253/2019 du 18 février 2020 consid. 4.2).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Si la prestation est due, il n'y a pas extorsion (art. 156 CP), mais éventuellement une infraction de contrainte, en cas de rapport "moyen/but" abusif ou contraire aux mœurs (arrêts du Tribunal fédéral 6B_275/2016 du 9 décembre 2016 consid. 4.2.2 ; 6B_411/2009 du 18 août 2009 consid. 3.2 et 6B_402/2008 du 6 novembre 2008 consid. 2.4.2.3).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2.3</w:t>
      </w:r>
    </w:p>
    <w:p>
      <w:r>
        <w:t>En l'espèce, le recourant allègue que les mis en cause auraient, lors de l'entretien du 7 octobre 2019, menacé de s'en prendre à sa famille, faisant notamment allusion à l'établissement scolaire fréquenté par ses enfants, s'il ne signait pas une reconnaissance de dette pour l'entier du montant à lui réclamé par les époux D______/H______. À les considérer comme établies, des menaces proférées à l'encontre de la famille du recourant constitueraient un moyen de pression illicite, indépendamment du bienfondé de la créance objet de la reconnaissance de dette. Partant, un tel procédé serait propre à entraver l'intéressé – ainsi que toute personne de sensibilité moyenne placée dans la même situation – dans sa liberté de décision et, de la sorte, susceptible de réaliser l'infraction de contrainte. À cet égard, les propos tenus par l'intéressé – même assisté de son conseil – dans une procédure parallèle ne paraissent pas valoir reconnaissance de dette au sens de l'art. 82 al. 1 LP, contrairement au document signé par le recourant, susceptible de revêtir ainsi une importance considérable dans le cadre du litige civil opposant les parties. Or, dans la mesure où le contrat de détective privé a été conclu avec G______, qui qualifie elle-même son époux de "tiers" dans son rapport du 30 octobre 2019, la présence de celui-ci à l'entretien du 7 octobre 2019 ne s'explique pas par le mandat confié. De plus, selon les témoignages concordants des époux D______/H______, le recourant ne souhaitait pas signer de reconnaissance de dette excédant la moitié du montant qu'ils lui réclamaient. Il a pourtant fini par céder, dans des circonstances qui</w:t>
      </w:r>
    </w:p>
    <w:p>
      <w:r>
        <w:t>- 8/9 - P/620/2021 demeurent floues en l'état de l'instruction. La photographie prise à l'issue de la soirée ne permet en effet pas d'éclaircir lesdites circonstances, en particulier quant à l'existence d'une contrainte précédant la signature du document litigieux. Il en va de même du courriel adressé deux jours plus tard par le recourant, fournissant des documents en lien avec le litige sur l'achat par le couple de pierres précieuses. À cela s'ajoute que le recourant a produit un procès-verbal d'audition d'un tiers, dans une procédure pénale parallèle portant sur le litige précité, qui accuse le couple mis en cause d'un procédé similaire à celui qu'il dénonce, à savoir la présence, lors d'un entretien, d'un homme "à l'imposante stature" qui aurait proféré des menaces. À teneur du dossier, aucun élément ne permet de privilégier les versions du couple – certes concordantes sur le refus initial, lors de la soirée du 7 octobre 2019, du recourant de signer une reconnaissance de dette pour l'entier du montant exigé – sur celle du recourant. En particulier, I______ n'a pas été entendu sur la raison de sa présence à ladite soirée, sur le déroulement de celle-ci ou encore sur le rôle qu'il aurait joué dans le cadre du mandat confié à son épouse. Il appartiendra ainsi au Ministère public d'ouvrir une instruction et ordonner l'audition de I______, le cas échéant par commission rogatoire internationale.</w:t>
      </w:r>
    </w:p>
    <w:p>
      <w:r>
        <w:rPr>
          <w:b/>
        </w:rPr>
        <w:t>E. 3</w:t>
      </w:r>
    </w:p>
    <w:p>
      <w:r>
        <w:t>Fondé, le recours doit être admis. Partant, l'ordonnance querellée sera annulée et la cause renvoyée au Ministère public pour l'ouverture d'une instruction.</w:t>
      </w:r>
    </w:p>
    <w:p>
      <w:r>
        <w:rPr>
          <w:b/>
        </w:rPr>
        <w:t>E. 4</w:t>
      </w:r>
    </w:p>
    <w:p>
      <w:r>
        <w:t>L'admission du recours ne donne pas lieu à la perception de frais (art. 428 al. 1 CPP). Les sûretés versées par le recourant lui seront restituées.</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w:t>
      </w:r>
    </w:p>
    <w:p>
      <w:r>
        <w:rPr>
          <w:b/>
        </w:rPr>
        <w:t>E. 5.2</w:t>
      </w:r>
    </w:p>
    <w:p>
      <w:r>
        <w:t>En l'espèce, le recourant conclut à l'octroi d'une indemnité de CHF 5'250.-, correspondant à 15 heures d'activité d'un avocat collaborateur, au tarif horaire de CHF 350.-. Compte tenu de la difficulté relative de l'affaire et de l'importance des écritures du recourant (soit un recours de 20 pages [sans la page de garde et la table des matières] et une réplique de 2 page et demie), ce montant paraît toutefois excessif et sera ramené à CHF 3'745.-, ce qui correspond à 10 heures d'activité à CHF 350.-, TVA (CHF 245.-) incluse. * * * * *</w:t>
      </w:r>
    </w:p>
    <w:p>
      <w:r>
        <w:t>- 9/9 - P/620/2021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