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ACPR/764/2025 vom 5. August 2025</w:t>
      </w:r>
    </w:p>
    <w:p>
      <w:r>
        <w:t>GE Cour de justice, 2025-08-05, FR</w:t>
      </w:r>
    </w:p>
    <w:p>
      <w:r>
        <w:rPr>
          <w:b/>
        </w:rPr>
        <w:t xml:space="preserve">Quelle: </w:t>
      </w:r>
      <w:r>
        <w:t>https://mcp.opencaselaw.ch/entscheid/ge_gerichte_ACPR_764_2025</w:t>
      </w:r>
    </w:p>
    <w:p>
      <w:r>
        <w:t>FR: GE_GERICHTE ACPR/764/2025 du 5 août 2025</w:t>
      </w:r>
    </w:p>
    <w:p>
      <w:r>
        <w:t>IT: GE_GERICHTE ACPR/764/2025 del 5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w:t>
      </w:r>
    </w:p>
    <w:p>
      <w:r>
        <w:t>- 4/8 - P/17390/2025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été condamné à cinq reprises, entre le 8 avril 2019 et le 28 septembre 2023, notamment pour des infractions à la LStup, soit des infractions qui dépassaient le cadre de la simple consommation personnelle. Ces condamnations à la LStup vont de pair avec des reproches répétés de situation irrégulière en Suisse, étant précisé que, pendant la période pénale précitée, l'intéressé a été condamné à chaque fois pour des infractions à la législation sur les étrangers. Ces éléments laissent craindre un ancrage dans la délinquance liée aux stupéfiants et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w:t>
      </w:r>
    </w:p>
    <w:p>
      <w:r>
        <w:t>- 5/8 - P/17390/2025 La Chambre de céans est toutefois d'avis [cf. notamment, ACPR/717/2025 du 9 septembre 2025; ACPR/400/2025 du 23 mai 2025]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d'un nouveau délit à la LStup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invoque encore que l'établissement de ce nouveau profil d'ADN entraînerait des frais inutiles. Or, que le coût de cette mesure soit éventuellement mis à sa charge ultérieurement – ce qui n'est pas évident à ce stade, dès lors que cette question ne se posera qu'à l'issue de la procédure et à la condition que l'intéressé soit condamné définitivement – n'est pas pertinent à ce stade.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- 6/8 - P/17390/2025</w:t>
      </w:r>
    </w:p>
    <w:p>
      <w:r>
        <w:t>- 7/8 - P/17390/2025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