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ACPR/761/2022 vom 19. August 2022</w:t>
      </w:r>
    </w:p>
    <w:p>
      <w:r>
        <w:t>GE Cour de justice, 2022-08-19, FR</w:t>
      </w:r>
    </w:p>
    <w:p>
      <w:r>
        <w:rPr>
          <w:b/>
        </w:rPr>
        <w:t xml:space="preserve">Quelle: </w:t>
      </w:r>
      <w:r>
        <w:t>https://mcp.opencaselaw.ch/entscheid/ge_gerichte_ACPR_761_2022</w:t>
      </w:r>
    </w:p>
    <w:p>
      <w:r>
        <w:t>FR: GE_GERICHTE ACPR/761/2022 du 19 août 2022</w:t>
      </w:r>
    </w:p>
    <w:p>
      <w:r>
        <w:t>IT: GE_GERICHTE ACPR/761/2022 del 19 agosto 2022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février 2014, renvoyant à SJ 2012 I 175; ACPR/279/2014 du 27 mai 2014) ou de CHF 400.- (ACPR/282/2014 du 30 mai 2014), notamment si l'avocat concerné avait lui-même calculé sa prétention à ce taux-là (ACPR/377/2013 du 13 août 2013). Elle retient un taux horaire de CHF 350.- pour les avocats collaborateurs (AARP/65/2017 du 23 février 2017) et de CHF 150.- pour les avocats stagiaires (ACPR/518/2017 du 27 juillet 2017;</w:t>
      </w:r>
    </w:p>
    <w:p>
      <w:r>
        <w:t> les recours étant strictement identiques, le temps consacré ne sera pris en compte qu'une seule fois;</w:t>
      </w:r>
    </w:p>
    <w:p>
      <w:r>
        <w:t>- 3/3 - P/17383/2022</w:t>
      </w:r>
    </w:p>
    <w:p>
      <w:r>
        <w:t> si le recours comprend 18 pages (pages de garde et de conclusions comprises), il apparaît que seules 4 pages (à larges interlignes) sont consacrées aux développements juridiques pertinents de sorte que seules 4h d'activités d'avocat- stagiaire, au tarif de CHF 150.-, et 1h de celle du chef d'étude, au tarif de CHF 450.-, plus TVA, apparaissent raisonnables et seront indemnisées.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