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ACPR/75/2024 vom 17. November 2023</w:t>
      </w:r>
    </w:p>
    <w:p>
      <w:r>
        <w:t>GE Cour de justice, 2023-11-17, FR</w:t>
      </w:r>
    </w:p>
    <w:p>
      <w:r>
        <w:rPr>
          <w:b/>
        </w:rPr>
        <w:t xml:space="preserve">Quelle: </w:t>
      </w:r>
      <w:r>
        <w:t>https://mcp.opencaselaw.ch/entscheid/ge_gerichte_ACPR_75_2024</w:t>
      </w:r>
    </w:p>
    <w:p>
      <w:r>
        <w:t>FR: GE_GERICHTE ACPR/75/2024 du 17 novembre 2023</w:t>
      </w:r>
    </w:p>
    <w:p>
      <w:r>
        <w:t>IT: GE_GERICHTE ACPR/75/2024 del 17 novembre 2023</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let. a CPP), pour les motifs prévus par la loi (art. 393 al. 2 let. a CPP), et émaner du prévenu, qui a qualité pour agir (art. 104 al. 1 let. a CPP) et un intérêt juridiquement protégé à l'annulation ou la modification de l'ordonnance entreprise (art. 382 al. 1 CPP).</w:t>
      </w:r>
    </w:p>
    <w:p>
      <w:r>
        <w:rPr>
          <w:b/>
        </w:rPr>
        <w:t>E. 2</w:t>
      </w:r>
    </w:p>
    <w:p>
      <w:r>
        <w:t>Le recourant, agissant en personne, demande la nomination d'un autre avocat d'office, au motif d'une rupture du lien de confiance avec son défenseur d'office, à qui il fait moults reproches.</w:t>
      </w:r>
    </w:p>
    <w:p>
      <w:r>
        <w:rPr>
          <w:b/>
        </w:rPr>
        <w:t>E. 2.1</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 La défense d'office a pour but de permettre à l'accusé de bénéficier d'une défense compétente, assidue et efficace. De simples divergences d'opinion quant à la manière d'assurer la défense des intérêts du prévenu dans le cadre de la procédure ne constituent à cet égard pas un motif justifiant un changement d'avocat. Il appartient en effet au défenseur d'office de décider de la conduite du procès, n'étant pas simplement le porte-parole sans esprit critique de l'accusé, qui se limiterait à se faire l'interprète des sentiments et des arguments de son client (ATF 116 Ia 102 consid. 4b/bb p. 105 ; 105 Ia 296 consid. 1e p. 304).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114 Ia 101 consid. 3 p. 104; 138 IV 161 consid. 2.4 p. 164; arrêt du Tribunal fédéral 1B_375 2012 du 15 août 2012 consid. 1.1).</w:t>
      </w:r>
    </w:p>
    <w:p>
      <w:r>
        <w:rPr>
          <w:b/>
        </w:rPr>
        <w:t>E. 2.2</w:t>
      </w:r>
    </w:p>
    <w:p>
      <w:r>
        <w:t>L'avocat d'office qui souhaite être relevé de son mandat doit indiquer, avec réserve, les raisons justifiant sa requête. Il reste en effet tenu par le secret professionnel au sens de l'art. 320 CP. L'autorité devrait se contenter des explications, générales, données par ce dernier (L. MOREILLON / A. PAREIN- REYMOND, CPP, Code de procédure pénale, 2ème éd., Bâle 2016, n. 7 ad art. 134).</w:t>
      </w:r>
    </w:p>
    <w:p>
      <w:r>
        <w:rPr>
          <w:b/>
        </w:rPr>
        <w:t>E. 2.3</w:t>
      </w:r>
    </w:p>
    <w:p>
      <w:r>
        <w:t>Selon l'art. 133 CPP, le défenseur d'office est désigné par la direction de la procédure compétente au stade considéré (al. 1); lorsqu'elle nomme le défenseur</w:t>
      </w:r>
    </w:p>
    <w:p>
      <w:r>
        <w:t>- 6/7 - P/11951/2023 d'office, la direction de la procédure prend en considération les souhaits du prévenu dans la mesure du possible (al. 2).</w:t>
      </w:r>
    </w:p>
    <w:p>
      <w:r>
        <w:rPr>
          <w:b/>
        </w:rPr>
        <w:t>E. 2.4</w:t>
      </w:r>
    </w:p>
    <w:p>
      <w:r>
        <w:t>En l'occurrence, le recourant a motivé sa requête de changement d'avocat par le fait qu'il n'avait plus confiance en son avocat d'office qui, selon lui, avait menti en affirmant qu'il avait renoncé à des réquisitions de preuves alors qu'il en avait fait la demande par écrit. Or, il s'agit là de motifs contestés par son conseil. Le recourant assure que son conseil lui avait menti et ne respectait pas ses instructions, la dernière fois s'agissant de l'appel contre le jugement du Tribunal correctionnel. Aucun élément du dossier ne permet de retenir que la défense du recourant ne serait pas assurée de manière efficace. Cela étant, force est de constater que Me C______ a, elle aussi, invoqué l'existence d'une grave rupture du lien de confiance et demandé à ce que son mandat d'office soit révoqué. L'absence, dorénavant, de toute communication avec son client, telle qu'elle l'a relatée dans ses observations, apparaît suffisante pour s'en convaincre. Dans ces circonstances, on ne saurait lui imposer la poursuite de la défense d'office du recourant qui ne veut plus de sa présence à ses côtés, ce d'autant qu'il vient d'être condamné et souhaite faire appel du jugement.</w:t>
      </w:r>
    </w:p>
    <w:p>
      <w:r>
        <w:rPr>
          <w:b/>
        </w:rPr>
        <w:t>E. 3</w:t>
      </w:r>
    </w:p>
    <w:p>
      <w:r>
        <w:t>L'ordonnance querellée sera donc annulée. Le Ministère public n'étant plus saisi de la cause, la Chambre de céans, en sa qualité de direction de la procédure dans le cadre du recours, désignera un nouveau défenseur d'office en faveur du recourant en la personne de Me D______.</w:t>
      </w:r>
    </w:p>
    <w:p>
      <w:r>
        <w:rPr>
          <w:b/>
        </w:rPr>
        <w:t>E. 4</w:t>
      </w:r>
    </w:p>
    <w:p>
      <w:r>
        <w:t>L'admission du recours ne donne pas lieu à la perception de frais (art. 428 al. 1 CPP).</w:t>
      </w:r>
    </w:p>
    <w:p>
      <w:r>
        <w:rPr>
          <w:b/>
        </w:rPr>
        <w:t>E. 5</w:t>
      </w:r>
    </w:p>
    <w:p>
      <w:r>
        <w:t>Le recourant a formé recours en personne, de sorte qu'aucune indemnité, qu'il n'a du reste pas demandée, ne lui sera allouée. * * * * *</w:t>
      </w:r>
    </w:p>
    <w:p>
      <w:r>
        <w:t>- 7/7 - P/11951/2023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