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ACPR/758/2020 vom 25. Juni 2020</w:t>
      </w:r>
    </w:p>
    <w:p>
      <w:r>
        <w:t>GE Cour de justice, 2020-06-25, FR</w:t>
      </w:r>
    </w:p>
    <w:p>
      <w:r>
        <w:rPr>
          <w:b/>
        </w:rPr>
        <w:t xml:space="preserve">Quelle: </w:t>
      </w:r>
      <w:r>
        <w:t>https://mcp.opencaselaw.ch/entscheid/ge_gerichte_ACPR_758_2020</w:t>
      </w:r>
    </w:p>
    <w:p>
      <w:r>
        <w:t>FR: GE_GERICHTE ACPR/758/2020 du 25 juin 2020</w:t>
      </w:r>
    </w:p>
    <w:p>
      <w:r>
        <w:t>IT: GE_GERICHTE ACPR/758/2020 del 25 giugno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dans la forme et le délai légal de dix jours (art. 396 al. 1 CPP) et concerne une ordonnance sujette à recours auprès de la Chambre de céans (art. 393 al. 1 let. a CPP).</w:t>
      </w:r>
    </w:p>
    <w:p>
      <w:r>
        <w:rPr>
          <w:b/>
        </w:rPr>
        <w:t>E. 2.2</w:t>
      </w:r>
    </w:p>
    <w:p>
      <w:r>
        <w:t>Reste toutefois à examiner la question de la qualité pour agir de la recourante.</w:t>
      </w:r>
    </w:p>
    <w:p>
      <w:r>
        <w:rPr>
          <w:b/>
        </w:rPr>
        <w:t>E. 2.2.1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w:t>
      </w:r>
    </w:p>
    <w:p>
      <w:r>
        <w:rPr>
          <w:b/>
        </w:rPr>
        <w:t>E. 2.2.2</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ATF 140 IV 155 consid. 3.3.1; arrêts du Tribunal fédéral 6B_857/2017 du 3 avril 2018 consid. 2.1 in fine ; 6B_367/2017 du 17 janvier 2018 consid. 1.2).</w:t>
      </w:r>
    </w:p>
    <w:p>
      <w:r>
        <w:t>- 8/15 - P/6269/2020</w:t>
      </w:r>
    </w:p>
    <w:p>
      <w:r>
        <w:rPr>
          <w:b/>
        </w:rPr>
        <w:t>E. 2.2.3</w:t>
      </w:r>
    </w:p>
    <w:p>
      <w:r>
        <w:t>Les différentes dispositions du Titre 2 de la partie spéciale du code pénal (comprenant notamment les art. 137 à 164 CP) tendent à protéger le patrimoine, soit la somme des valeurs économiques juridiquement protégées par le droit civil (M. DUPUIS / L. MOREILLON / C. PIGUET / S. BERGER / M. MAZOU / V. RODIGARI (éds), Code pénal - Petit commentaire, Bâle 2017, n. 1 ad remarques préliminaires aux art. 137 ss).</w:t>
      </w:r>
    </w:p>
    <w:p>
      <w:r>
        <w:rPr>
          <w:b/>
        </w:rPr>
        <w:t>E. 2.2.4</w:t>
      </w:r>
    </w:p>
    <w:p>
      <w:r>
        <w:t>Les infractions de faux dans les titres (art. 251 CP) et faux dans les certificats (art. 252 CP) protègent en premier lieu un bien juridique collectif, à savoir la confiance que l'on peut accorder, respectivement dans les relations juridiques, à un titre en tant que moyen de preuve (ATF 137 IV 167 consid. 2.3.1) et dans la vie des affaires, aux pièces de légitimation, certificats et attestations (ATF 95 IV 68, JdT 1969 IV 78). Dans un tel cas, les personnes physiques ou morales ne sont considérées comme des lésées que si le faux dans les titres vise spécifiquement à leur nuire (ATF 140 IV 155 consid. 3.3.3; Y. JEANNERET / A. KUHN / C. PERRIER DEPEURSINGE (éds), Commentaire romand : code de procédure pénale suisse, 2ème éd., Bâle 2019, n. 11 ad art. 115).</w:t>
      </w:r>
    </w:p>
    <w:p>
      <w:r>
        <w:rPr>
          <w:b/>
        </w:rPr>
        <w:t>E. 2.2.5</w:t>
      </w:r>
    </w:p>
    <w:p>
      <w:r>
        <w:t>En l'espèce, dans son recours, la recourante, sur 42 pages et 35 pièces à l'appui, reproche différents agissements aux mis en cause, lesquels auraient eu pour but de la priver de son patrimoine. Or, elle explique que, dès 1989, le couple D______/A______ avait transféré les actions qu'il détenait des sociétés belges "d'origines" O______ SA et P______ SA à des tiers (Q______ AG, qui elle-même les a transférées à la fondation liechtensteinoise R______). Le couple D______/A______ en a donc perdu leur propriété. Ainsi, faute pour la recourante d'être titulaire du bien juridiquement protégé par les infractions des art. 137 CP (appropriation illégitime), 138 CP (abus de confiance), 139 CP (vol), 141 CP (soustraction d'une chose mobilière), 141bis CP (soustraction d'une chose mobilière), 158 CP (gestion déloyale) et 160 CP (recel), elle ne possède pas la qualité pour recourir au sens de l'art. 382 al. 1 CP, s'agissant de l'ensemble des actes effectués sur ces actifs, en particulier leur transfert ultérieur à la [fondation] S______ et les actes concernant cette dernière, le recours est irrecevable. Il n'apparait pas non plus qu'elle ait la qualité pour recourir s'agissant des art. 151 CP (atteinte astucieuse aux intérêts pécuniaires d'autrui) et 152 CP (faux renseignements sur des entreprises commerciales) dans la mesure où elle n'allègue nullement avoir été confortée dans son erreur, été déterminée à des actes préjudiciables ou avoir disposé de son patrimoine de manière préjudiciable à ses intérêts pécuniaires du fait d'informations mensongères "sur l'identité des ayants droits économiques réels" des sociétés belges O______ SA et P______ SA communiquées aux autorités belges ou à d'autres personnes. Il en va de même pour ce qui est de l'infraction à l'art. 153 CP (fausses communications aux autorités chargées du registre du commerce), cet article protégeant la foi publique (M. DUPUIS / L. MOREILLON / C. PIGUET / S. BERGER / M. MAZOU / V. RODIGARI (éds), op cit., n. 1 ad art. 153) et la</w:t>
      </w:r>
    </w:p>
    <w:p>
      <w:r>
        <w:t>- 9/15 - P/6269/2020 recourante ne prétendant pas qu'elle se serait fiée à des indications fallacieuses ou fallacieusement tues au Registre du commerce ou aurait pris des dispositions quelconques sur leur fondement. S'agissant de l'infraction à l'art. 164 CP (diminution effective de l'actif au préjudice des créanciers) – qui aurait été commise par C______ dans la mesure où il aurait renoncé à récupérer des dettes, causant ainsi directement un préjudice au patrimoine du couple "D______/A______" –, la recourante ne prétend nullement être créancière de l'une des sociétés concernées. Elle ne possède donc pas non plus la qualité pour recourir s'agissant de cette infraction. Il en va de même de l'art. 305ter CP (défaut de vigilance en matière d'opérations financières et droit de communication), celui-ci protégeant l'administration de la justice, à l'exclusion d'éventuels intérêts patrimoniaux individuels (ATF 136 IV 127 consid. 3.1.2; arrêt du Tribunal fédéral 6B_500/2017 consid. 2.3). Il en résulte que la recourante ne peut pas prétendre avoir été atteinte directement dans ses droits, cette norme n'ayant pas pour but de protéger ses propres intérêts. Elle ne saurait, dès lors, en déduire un droit subjectif, au sens de l'art. 382 al. 1 CPP. Il ne semble pas non plus qu'elle détienne la qualité pour recourir s'agissant des faits qui seraient constitutifs d'infractions aux art. 251 et 252 CP. Cette question peut néanmoins rester ouverte compte tenu du développement infra (cf. consid. 4.4). Enfin, on ne voit pas non plus qu'elle détienne la qualité pour recourir sous l'angle des infractions invoquées au préjudice de D______ (art. 138 et 157 CP) et [de ses enfants] (art. 138 CP). Partant, le recours n'est recevable qu'en ce qui concerne les éventuelles infractions aux art. 260ter, 305bis, 137, 138, 141, 146, 157, 158, 160, 251, 252, 254, 322octies, 322novies, 327a CP et / ou les faits qui ne se rapportent pas au patrimoine transféré par la recourante à des tiers.</w:t>
      </w:r>
    </w:p>
    <w:p>
      <w:r>
        <w:rPr>
          <w:b/>
        </w:rPr>
        <w:t>E. 3.1</w:t>
      </w:r>
    </w:p>
    <w:p>
      <w:r>
        <w:t>Le ministère public rend immédiatement une ordonnance de non-entrée en matière s'il ressort de la dénonciation ou du rapport de police que les conditions mentionnées à l'art. 8 imposent de renoncer à l'ouverture d'une poursuite pénale (art. 310 al. 1 let. c CPP). Conformément à cette disposition, le ministère public et les tribunaux peuvent renoncer à engager une poursuite lorsqu'aucun intérêt prépondérant de la partie plaignante ne s'y oppose et que l'infraction fait déjà l'objet d'une poursuite de la part d'une autorité étrangère (al. 3). Dans ce cas, ils rendent une ordonnance de non-entrée en matière ou de classement (al. 4). Cette disposition opte pour une formule facultative, la direction de la procédure pouvant renoncer à poursuivre si aucun intérêt de la partie plaignante ne s'y oppose et pour autant que des poursuites aient été engagées à l'étranger ou que la délégation</w:t>
      </w:r>
    </w:p>
    <w:p>
      <w:r>
        <w:t>- 10/15 - P/6269/2020 des poursuites à l'étranger ait eu lieu (L. MOREILLON / A. PAREIN-REYMOND, Petit commentaire CPP, Bâle 2016, n. 12 ad art. 8; ACPR/181/2020 du 30 janvier 2020 consid. 2.3 et 2.4).</w:t>
      </w:r>
    </w:p>
    <w:p>
      <w:r>
        <w:rPr>
          <w:b/>
        </w:rPr>
        <w:t>E. 3.2</w:t>
      </w:r>
    </w:p>
    <w:p>
      <w:r>
        <w:t>En l'occurrence, il ressort des éléments au dossier qu'une plainte a été déposée par la recourante en Belgique, laquelle a été assignée à un juge d'instruction belge le 10 mars 2020, soit récemment. On ignore, à ce stade précoce, quelle suite les autorités pénales belges entendent donner à ladite plainte, et si les faits dénoncés dans celle-ci sont identiques à ceux faisant l'objet de la présente procédure. La recourante, partie plaignante, dispose donc, en l'état et a priori, d'un intérêt prépondérant à ce qu'il ne soit pas renoncé, pour ce seul motif, à la poursuite de la procédure pénale en Suisse.</w:t>
      </w:r>
    </w:p>
    <w:p>
      <w:r>
        <w:rPr>
          <w:b/>
        </w:rPr>
        <w:t>E. 4.1</w:t>
      </w:r>
    </w:p>
    <w:p>
      <w:r>
        <w:t>Néanmoins, aux termes de l'art. 310 al. 1 let. b CPP, le ministère public rend immédiatement une ordonnance de non-entrée en matière s'il ressort de la dénonciation ou du rapport de police qu'il existe des empêchements de procéder.</w:t>
      </w:r>
    </w:p>
    <w:p>
      <w:r>
        <w:rPr>
          <w:b/>
        </w:rPr>
        <w:t>E. 4.2</w:t>
      </w:r>
    </w:p>
    <w:p>
      <w:r>
        <w:t>L'incompétence à raison du lieu (art. 31 et ss CPP) et de la matière (art. 23 à 27 CPP) sont constitutives d'un empêchement définitif de procéder (L. MOREILLON / A. PAREIN-REYMOND, op cit., n. 13 ad art. 310).</w:t>
      </w:r>
    </w:p>
    <w:p>
      <w:r>
        <w:rPr>
          <w:b/>
        </w:rPr>
        <w:t>E. 4.3</w:t>
      </w:r>
    </w:p>
    <w:p>
      <w:r>
        <w:t>L'autorité du lieu où l'acte a été commis est compétente pour la poursuite et le jugement de l'infraction. Si le lieu où le résultat s'est produit est seul situé en Suisse, l'autorité compétente est celle de ce lieu (art. 31 al. 1 CPP). Si l'infraction a été commise à l'étranger ou s'il n'est pas possible de déterminer en quel lieu elle a été commise, l'autorité du lieu où le prévenu a son domicile ou sa résidence habituelle est compétente pour la poursuite et le jugement (art. 32 al. 1 CPP). Les infractions visées notamment aux art. 260ter et 305bis CP sont soumises à la juridiction fédérale lorsque les actes punissables ont été commis pour une part prépondérante à l'étranger (art. 24 al. 1 let. a CPP).</w:t>
      </w:r>
    </w:p>
    <w:p>
      <w:r>
        <w:rPr>
          <w:b/>
        </w:rPr>
        <w:t>E. 4.4</w:t>
      </w:r>
    </w:p>
    <w:p>
      <w:r>
        <w:t>In casu, dans la mesure où les faits dénoncés se sont produits en Belgique ou à l'étranger et concernent des personnes qui y ont leur domicile (H______, L______, E______, M______, F______, N______ et D______), les autorités pénales genevoises ne sont pas compétentes à raison du lieu. En particulier, le "papier de transferts d'actifs" signé par D______, domicilié en Belgique – à supposer que ce document existe réellement – ne permet pas de déterminer le lieu de sa signature. La recourante n'allègue au demeurant nullement que ce lieu serait Genève. Il en va de même du règlement de la [fondation] S______ signé, à U______ [Belgique], par M______, domicilié en Belgique, le 1er septembre 2012, qui, selon la recourante serait un faux; ainsi que de la suppression selon elle du véritable règlement de fondation accepté par D______; et des "papiers en blancs"</w:t>
      </w:r>
    </w:p>
    <w:p>
      <w:r>
        <w:t>- 11/15 - P/6269/2020 qui auraient été signés par les enfants [de D______] et l'apposition de la "fausse" signature de G______ sur ceux-ci. Le grief de la recourante selon lequel elle aurait été exclue sans droit des bénéficiaires de la S______ par la décision du Conseil de fondation du 23 juillet 2013 ne relève pas non plus de la compétence des autorités pénales genevoises. En effet, le Conseil de fondation s'est basé sur un document signé par D______ le 1er septembre 2012 modifiant le règlement de la fondation et permettant ainsi le remaniement des bénéficiaires. Selon les éléments au dossier, ces documents ont été signés à U______, respectivement par D______ et M______. Ils ont été utilisés par le Conseil de fondation dans le cadre de leur décision prise au Liechtenstein (T______). Rien n'indique enfin que M______ et les membres du Conseil de fondation auraient leur domicile en Suisse. Il en va de même des actes commis, selon elle, au préjudice des enfants [de D______], perpétrés à l'étranger, selon le dossier. Enfin, il n'en va pas différemment des actes reprochés à H______ (exerçant en Belgique), qui aurait corrompu diverses personnes domiciliées à l'étranger également (E______ et M______). Les faits invoqués à l'appui des infractions aux art. 260ter CP (organisation criminelle) et 305bis CP (blanchiment d'argent) ne relèvent pas non plus de la compétence des autorités genevoises, faute d'attachement avec la Suisse, le dossier faisant au contraire apparaître qu'ils ont été commis à l'étranger (cf. let. B voire C.) La recourante n'en disconvient pas dans sa plainte. Les griefs en relation avec les infractions des art. 137, 138, 141, 146, 157, 251, 252, 254, 322octies et 327a CP seront donc également rejetés.</w:t>
      </w:r>
    </w:p>
    <w:p>
      <w:r>
        <w:rPr>
          <w:b/>
        </w:rPr>
        <w:t>E. 5.1</w:t>
      </w:r>
    </w:p>
    <w:p>
      <w:r>
        <w:t>Selon l'art. 310 al. 1 let. a CPP, le ministère public rend également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ATF 138 IV 86 consid. 4.2;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w:t>
      </w:r>
    </w:p>
    <w:p>
      <w:r>
        <w:t>- 12/15 - P/6269/2020 ATF 138 IV 86 consid. 4.1.2; arrêts du Tribunal fédéral 6B_417/2017 du 10 janvier 2018 consid. 2.1.2; 6B_185/2016 du 30 novembre 2016 consid. 2.1.2). En cas de doute, il appartient donc au juge matériellement compétent de se prononcer (arrêt du Tribunal fédéral 6B_185/2016 du 20 novembre 2016 consid. 2.1.2).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op cit., n. 9 ad art. 310).</w:t>
      </w:r>
    </w:p>
    <w:p>
      <w:r>
        <w:rPr>
          <w:b/>
        </w:rPr>
        <w:t>E. 5.2</w:t>
      </w:r>
    </w:p>
    <w:p>
      <w:r>
        <w:t>L'art. 102 al. 1 CP prévoit qu'un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L'art. 102 al. 2 CP précise qu'en cas d'infraction prévue aux art. 260ter, 260quinquies, 305bis, 322ter, 322quinquies, 322septies, al. 1, ou 322octies, l'entreprise est punie indépendamment de la punissabilité des personnes physiques s'il doit lui être reproché de ne pas avoir pris toutes les mesures d'organisation raisonnables et nécessaires pour empêcher une telle infraction.</w:t>
      </w:r>
    </w:p>
    <w:p>
      <w:r>
        <w:rPr>
          <w:b/>
        </w:rPr>
        <w:t>E. 5.3</w:t>
      </w:r>
    </w:p>
    <w:p>
      <w:r>
        <w:t>En l'occurrence, seuls restent à analyser les faits invoqués à l'encontre des structures et des personnes domiciliées en Suisse et qui seraient constitutifs selon la recourante des infractions énoncées. À cet égard, il est relevé que tant dans sa plainte que dans son recours la recourante reproche, en substance, des manquements à C______, qui auraient été perpétrés dans le cadre de ses fonctions dans les sociétés Q______ AG, I______ AG et K______ SA. Conformément à l'art. 102 al. 2 CP, seul C______ pourrait donc être poursuivi dans le cas où une prévention pénale suffisante devait être retenue pour les faits dénoncés. La question de la propriété initiale des actions O______ SA et P______ SA par la recourante peut rester ouverte, car elle ne fournit aucun élément qui permettrait d'exclure qu'elle n'aurait pas donné, même tacitement, des pouvoirs de représentation à son mari, autorisant leurs transferts ultérieurs. Au surplus, malgré les écrits volumineux de la recourante (plainte et recours) ainsi que les nombreuses pièces figurant au dossier (respectivement 93 et 35 pièces), aucune de celles à disposition de la Chambre de céans ne permet de confirmer l'existence d'un contrat de fiducie entre</w:t>
      </w:r>
    </w:p>
    <w:p>
      <w:r>
        <w:t>- 13/15 - P/6269/2020 la recourante et Q______ AG, ni d'en déterminer les termes, de sorte qu'il n'existe pas de soupçon suffisant quant à une éventuelle infraction pénale à cet égard. Selon la recourante, C______ aurait agi en contrevenant sciemment à ses droits, tant en sa qualité d'administrateur de Q______ AG que de membre du Comité des Protecteurs de la S______. Or, on ne voit pas que C______ ait pu se rendre coupable d'infractions aux art. 251 et 252 CP en détenant un "papier de transfert d'actifs", – dont rien au dossier ne corrobore même son existence –, les allégués de la recourante ne reposant sur aucun élément matériel suffisant. Il en va de même sous l'angle de l'infraction à l'art. 322novies CP (corruption privée passive) par C______. Au regard de ce qui précède, on ne voit pas quel acte d'enquête serait susceptible d'apporter un élément complémentaire pertinent. Partant, l'ensemble des actes d'enquêtes sollicités seront également rejetés. En conclusion, la décision de ne pas entrer en matière du Ministère public ne prête pas le flanc à la critique.</w:t>
      </w:r>
    </w:p>
    <w:p>
      <w:r>
        <w:rPr>
          <w:b/>
        </w:rPr>
        <w:t>E. 6</w:t>
      </w:r>
    </w:p>
    <w:p>
      <w:r>
        <w:t>Justifiée, l'ordonnance querellée sera donc confirmée, par substitution de motifs.</w:t>
      </w:r>
    </w:p>
    <w:p>
      <w:r>
        <w:rPr>
          <w:b/>
        </w:rPr>
        <w:t>E. 7</w:t>
      </w:r>
    </w:p>
    <w:p>
      <w:r>
        <w:t>La recourante, qui succombe, supportera les frais envers l'État, qui seront fixés en totalité à CHF 1'490.- (art. 428 al. 1 CPP et 13 al. 1 du Règlement fixant le tarif des frais en matière pénale, RTFMP ; E 4 10.03). * * * * *</w:t>
      </w:r>
    </w:p>
    <w:p>
      <w:r>
        <w:t>- 14/15 - P/6269/2020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