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ACPR/757/2019 vom 26. Juli 2019</w:t>
      </w:r>
    </w:p>
    <w:p>
      <w:r>
        <w:t>GE Cour de justice, 2019-07-26, FR</w:t>
      </w:r>
    </w:p>
    <w:p>
      <w:r>
        <w:rPr>
          <w:b/>
        </w:rPr>
        <w:t xml:space="preserve">Quelle: </w:t>
      </w:r>
      <w:r>
        <w:t>https://mcp.opencaselaw.ch/entscheid/ge_gerichte_ACPR_757_2019</w:t>
      </w:r>
    </w:p>
    <w:p>
      <w:r>
        <w:t>FR: GE_GERICHTE ACPR/757/2019 du 26 juillet 2019</w:t>
      </w:r>
    </w:p>
    <w:p>
      <w:r>
        <w:t>IT: GE_GERICHTE ACPR/757/2019 del 26 luglio 2019</w:t>
      </w:r>
    </w:p>
    <w:p>
      <w:pPr>
        <w:pStyle w:val="Heading2"/>
      </w:pPr>
      <w:r>
        <w:t>Erwägungen</w:t>
      </w:r>
    </w:p>
    <w:p>
      <w:r>
        <w:rPr>
          <w:b/>
        </w:rPr>
        <w:t>E. 1</w:t>
      </w:r>
    </w:p>
    <w:p>
      <w:r>
        <w:t>Le recours est recevable pour avoir été déposé selon les forme et – faute de notification conforme à l'art. 85 al. 2 CPP – délai prescrits (art. 385 al. 1 et 396 al. 1 CPP) et concerner une ordonnance de non-entrée en matière sujette à recours auprès de la Chambre de céans (art. 310 al. 2, 322 al. 2 et 393 al. 1 let. a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soutient que le soupçon d'abus d'autorité (art. 312 CP) est suffisant. On comprend de l'acte de recours que le juge B______ est désormais seul mis en cause.</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w:t>
      </w:r>
    </w:p>
    <w:p>
      <w:r>
        <w:t>- 4/7 - P/8518/2019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R. PFISTER-LIECHTI (éd.), La procédure pénale fédérale, Fondation pour la formation continue des juges suisses, Berne 2010, p. 62; DCPR/85/2011 du 27 avril 2011).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op. cit., n. 10 ad art. 310; DCPR/104/2011 du 11 mai 2011).</w:t>
      </w:r>
    </w:p>
    <w:p>
      <w:r>
        <w:rPr>
          <w:b/>
        </w:rPr>
        <w:t>E. 3.2</w:t>
      </w:r>
    </w:p>
    <w:p>
      <w:r>
        <w:t>L'art. 312 CP réprime les membres d'une autorité et les fonctionnaires qui, dans le dessein de se procurer ou de procurer à un tiers un avantage illicite, ou dans le dessein de nuire à autrui, auront abusé des pouvoirs de leur charge.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w:t>
      </w:r>
    </w:p>
    <w:p>
      <w:r>
        <w:t>- 5/7 - P/8518/2019 moyens disproportionnés (ATF 127 IV 209 consid. 1a/aa et b et les références citées; arrêt du Tribunal fédéral 6B_615/2011 du 20 janvier 2012 consid. 3.1).</w:t>
      </w:r>
    </w:p>
    <w:p>
      <w:r>
        <w:rPr>
          <w:b/>
        </w:rPr>
        <w:t>E. 3.3</w:t>
      </w:r>
    </w:p>
    <w:p>
      <w:r>
        <w:t>En l'espèce, rien, dans les faits exposés dans la plainte pénale, ne laisse supposer que le magistrat mis en cause aurait, à un quelconque moment, abusé des pouvoirs de sa charge. Les deux décisions qu'il a rendues à propos de la recourante (la fin du mandat de curateur et le refus d'approuver les comptes de gestion) non seulement entraient dans ses fonctions, mais ont, de surcroît, été maintenues par les autorités de recours compétentes. Le signalement de la recourante à un autre magistrat du TPAE entre également dans les fonctions du magistrat. Il n'est pas illicite. Ce document s'appuie sur des pièces; il est pondéré à la forme et au fond, puisqu'il suggère que la situation de la recourante devrait être investiguée. Du reste, la recourante ne prétend pas qu'une mesure de protection quelconque aurait déjà été décidée contre elle. Dans aucune de ces situations, on ne voit de dessein de nuire à la recourante. Quant à l'accès au dossier de la procédure qui a été ouverte sur ces entrefaites, et dont son avocat a soulevé qu'il serait peut-être incomplet, il ne dépend pas du juge mis en cause, mais de la Chambre du TPAE qui a ouvert une procédure pour éclaircir l'éventuel besoin de protection de la recourante. C'est devant cette autorité, et par les voies propres au droit applicable – qui n'est pas celui de la procédure pénale –, que cette question doit se régler. Pour le surplus, la recourante discute la valeur probante des éléments sur la base desquels elle a été "signalée", mais ce sera précisément l'objet de la procédure en cours que d'en établir le bien-fondé. Dans ce cadre-là, assistée par avocat, elle aura toute possibilité de faire valoir ses droits, en contestant les preuves déjà versées, en requérant l'administration des siennes, puis en contestant, si elle s'y estime fondée, toute décision que rendra le TPAE et qu'elle estimerait défavorable à ses intérêts.</w:t>
      </w:r>
    </w:p>
    <w:p>
      <w:r>
        <w:rPr>
          <w:b/>
        </w:rPr>
        <w:t>E. 4</w:t>
      </w:r>
    </w:p>
    <w:p>
      <w:r>
        <w:t>La non-entrée s'avère ainsi justifiée, et le recours infondé.</w:t>
      </w:r>
    </w:p>
    <w:p>
      <w:r>
        <w:rPr>
          <w:b/>
        </w:rPr>
        <w:t>E. 5</w:t>
      </w:r>
    </w:p>
    <w:p>
      <w:r>
        <w:t>Indépendamment de la condition de ressource, l'assistance judiciaire peut être refusée lorsqu'une telle issue est d'emblée prévisible (arrêt du Tribunal fédéral 1B_254/2013 du 27 septembre 2013 consid. 2.1.1.). En effet,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 138 III 217 consid. 2.2.4 p. 218; 129 I 129 consid. 2.2 p. 133 ss). Dès lors, la recourante n'a pas droit à l'assistance judiciaire.</w:t>
      </w:r>
    </w:p>
    <w:p>
      <w:r>
        <w:rPr>
          <w:b/>
        </w:rPr>
        <w:t>E. 6</w:t>
      </w:r>
    </w:p>
    <w:p>
      <w:r>
        <w:t>Dès lors, la recourante, qui succombe dans toutes ses conclusions, supportera les frais de l'État, fixés en totalité à CHF 800.- (art. 428 al. 1 CPP et 13 al. 1 du Règlement fixant le tarif des frais en matière pénale, RTFMP; E 4 10.03). Cet émolument ne concerne pas le refus de l'assistance judiciaire, qui n'est pas soumis à émolument (art. 20 RAJ).</w:t>
      </w:r>
    </w:p>
    <w:p>
      <w:r>
        <w:t>- 6/7 - P/8518/2019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