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ACPR/756/2022 vom 30. Juni 2022</w:t>
      </w:r>
    </w:p>
    <w:p>
      <w:r>
        <w:t>GE Cour de justice, 2022-06-30, FR</w:t>
      </w:r>
    </w:p>
    <w:p>
      <w:r>
        <w:rPr>
          <w:b/>
        </w:rPr>
        <w:t xml:space="preserve">Quelle: </w:t>
      </w:r>
      <w:r>
        <w:t>https://mcp.opencaselaw.ch/entscheid/ge_gerichte_ACPR_756_2022</w:t>
      </w:r>
    </w:p>
    <w:p>
      <w:r>
        <w:t>FR: GE_GERICHTE ACPR/756/2022 du 30 juin 2022</w:t>
      </w:r>
    </w:p>
    <w:p>
      <w:r>
        <w:t>IT: GE_GERICHTE ACPR/756/2022 del 30 giugno 2022</w:t>
      </w:r>
    </w:p>
    <w:p>
      <w:pPr>
        <w:pStyle w:val="Heading2"/>
      </w:pPr>
      <w:r>
        <w:t>Erwägungen</w:t>
      </w:r>
    </w:p>
    <w:p>
      <w:r>
        <w:rPr>
          <w:b/>
        </w:rPr>
        <w:t>E. 1</w:t>
      </w:r>
    </w:p>
    <w:p>
      <w:r>
        <w:t>Le recours est recevable pour avoir été déposé selon la forme et dans le délai prescrits (art. 90 al. 2, 385 al. 1 et 396 al. 1 CPP), concerner des points du dispositif d'une ordonnance sujette à recours auprès de la Chambre de céans</w:t>
      </w:r>
    </w:p>
    <w:p>
      <w:r>
        <w:t>- 13/20 - P/518/2020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 défaut de motivation, le Ministère public n'ayant pas explicité le comportement qui lui était reproché, aucune norme de comportement n'étant citée à l'appui de l'ordonnance querellée.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136 V 117 consid. 4.2.2.2 p. 126/127; 133 I 201 consid. 2.2 p. 204).</w:t>
      </w:r>
    </w:p>
    <w:p>
      <w:r>
        <w:rPr>
          <w:b/>
        </w:rPr>
        <w:t>E. 2.2</w:t>
      </w:r>
    </w:p>
    <w:p>
      <w:r>
        <w:t>p. 204). Le comportement imputé au prévenu doit se trouver dans une relation de causalité adéquate avec l'ouverture de l'enquête ou les obstacles mis à celle-ci (cf. ATF 116 Ia 162 consid. 2c p. 170 s.; plus récemment : arrêt du Tribunal fédéral 6B_806/2019 du 9 octobre 2019 consid. 2.) La relation de causalité est établie lorsque, selon le cours ordinaire des choses et l'expérience de la vie, le comportement de la personne concernée était de nature à provoquer l'ouverture de la procédure pénale et le dommage ou les frais que celle-ci a entraînés (ATF 116 Ia 162 consid. 2c ; arrêt du Tribunal fédéral 6B_203/2015 du 16 mars 2016 consid. 1.1). Une condamnation aux frais ne peut se justifier que si, en raison du comportement illicite du prévenu, l'autorité était légitimement en droit d'ouvrir une enquête. Elle est en tout cas exclue lorsque</w:t>
      </w:r>
    </w:p>
    <w:p>
      <w:r>
        <w:t>- 15/20 - P/518/2020 l'autorité est intervenue par excès de zèle, ensuite d'une mauvaise analyse de la situation ou par précipitation (ATF 116 Ia 162 consid. 2c ; arrêt 6B_429/2017 du 14 février 2018 consid. 5.1) 3.2.1. Le rapport juridique entre la société et ses organes s'apparente à un mandat (ATF 129 III 499 consid. 3 p. 502). Conformément à l'art. 398 CO, le mandataire, à l'instar du travailleur (art. 321a al. 1 CO) doit exécuter avec soin la mission qui lui est confiée et sauvegarder fidèlement les intérêts légitimes de son mandant. 3.2.2. L'art. 717 al. 1 CO confirme que les membres du conseil d'administration, de même que les tiers qui s'occupent de la gestion, exercent leurs attributions avec toute la diligence nécessaire et veillent fidèlement aux intérêts de la société. L'exigence de diligence constitue plus qu'un simple devoir : elle établit la mesure de la diligence requise (Sorgfaltsmassstab) dans l'exécution concrète de tous les autres devoirs (arrêt du Tribunal fédéral 2C_790/2019 du 14 septembre 2020 consid. 11.1.1). Il appartient en particulier aux administrateurs de contrôler de manière régulière la situation économique et financière de la société (ATF 132 III 564 consid. 5.1). Par ailleurs, le devoir de fidélité commande que les dirigeants orientent leur comportement en fonction des intérêts des affaires de la société. Il leur interdit de placer leurs intérêts personnels ou l'intérêt de tiers avant l'intérêt social (ATF 130 III 213 consid. 2.2.2). 3.2.3. L'art. 716a al. 1 CO fixe les attributions du conseil d'administration qu'il convient de considérer comme essentielles. Outre fixer les principes de la comptabilité et du contrôle financier ainsi que le plan financier pour autant que celui- ci soit nécessaire à la gestion de la société (ch. 3), il lui incombe, entre autres, d'exercer la haute surveillance sur les personnes chargées de la gestion pour s'assurer notamment qu'elles observent la loi, les statuts, les règlements et les instructions données (ch. 5). 3.2.4. Le directeur d'une société anonyme se trouve lié à celle-ci par un double rapport (obligationnel en vertu du droit du travail) et organique (en vertu du droit des sociétés), à telle enseigne que l'organe qui a une position d'employé doit respecter à la fois le devoir de fidélité du travailleur (art. 321a CO) et le devoir de fidélité d'une personne qui s'occupe de la gestion instaurée par l'art. 717 CO (ATF 140 III 409 consid. 3.1 p. 412; 130 III 213 consid. 2.1 p. 216 s., 128 III 129 consid. 1 p. 131 s.). Il en résulte notamment que l'employé qui a une position d'organe ne peut pas défendre ses intérêts d'employé à l'encontre de la société anonyme de la même</w:t>
      </w:r>
    </w:p>
    <w:p>
      <w:r>
        <w:t>- 16/20 - P/518/2020 manière que tout autre employé, parce que sa position, du point de vue du droit des sociétés, l'oblige à sauvegarder les intérêts de la société (ATF 128 III 129 consid. 1a/aa p. 132). 3.2.5. Conformément à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Selon le Tribunal fédéral, il est incontestable que les directeurs de la société anonyme qui dépendent directement du conseil d'administration, à l'instar du CEO, sont des personnes qui s'occupent de la gestion (arrêt du Tribunal fédéral 4A_55/2017 du 16 juin 2017 consid. 4.2).</w:t>
      </w:r>
    </w:p>
    <w:p>
      <w:r>
        <w:rPr>
          <w:b/>
        </w:rPr>
        <w:t>E. 3</w:t>
      </w:r>
    </w:p>
    <w:p>
      <w:r>
        <w:t>Le recourant reproche au Ministère public de l'avoir condamné aux frais de la procédure.</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p. 205; 119 Ia 332 consid. 1b p. 334).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consid. 1b et les réf. citées). Le fait reproché doit constituer une violation claire de la norme de comportement (ATF 144 IV 202 consid.</w:t>
      </w:r>
    </w:p>
    <w:p>
      <w:r>
        <w:rPr>
          <w:b/>
        </w:rPr>
        <w:t>E. 3.3</w:t>
      </w:r>
    </w:p>
    <w:p>
      <w:r>
        <w:t>En l'espèce, il est établi, et non contesté, que le recourant a exercé conjointement les fonctions d'administrateur et de CEO des sociétés du groupe G______ au moment des faits reprochés. Dans la mesure où cette position est celle d'un gérant, il avait un devoir d'administrer et de sauvegarder leurs intérêts patrimoniaux. En tant qu'administrateur, il lui incombait notamment d'adapter les dépenses aux moyens dont disposaient les sociétés, en veillant, au besoin, à faire passer les intérêts de ces dernières avant les siens propres. Or, entre 2018 et 2019, il a reconnu avoir fait supporter aux diverses entités du groupe – dont la situation financière était alors critique – des dépenses importantes a priori sans rapport avec les activités desdites sociétés, tels que des frais relatifs à des évènements privés, à des séjours à l'étranger en compagnie de sa famille, à deux voitures dont une de luxe, à l'acquisition de bouteilles d'alcool onéreuses, à la location de biens immobiliers en montagne et à la maintenance d'un bateau. Le Ministère public a certes retenu que, d'un point de vue pénal, il n'existait pas d'éléments suffisants pour retenir la commission d'une infraction. Il n'en demeure pas moins, et quoi qu'en dise le recourant, que lesdites dépenses, s'élevant à plusieurs dizaines de milliers de francs, n'étaient pas adaptées à la situation financière des sociétés du groupe, ni justifiées par la bonne marche des affaires, que le recourant connaissait toutes deux. Même dans l'hypothèse où certaines de ces dépenses auraient eu un but commercial, elles étaient en tout état de cause disproportionnées, eu égard aux moyens financiers des sociétés concernées et du fait qu'elles n'ont permis d'apporter aucun nouveau client. À cela s'ajoute que le recourant n'a fourni aucun justificatif ni décompte démontrant le but de ces frais, étant précisé qu'il a admis avoir utilisé à des fins privées des appartements en montagne, les deux voitures de marques R______ et S______ ainsi que le bateau susmentionnés. Il a par ailleurs reconnu que la facture d'un montant de CHF 35'000.- relative à l'anniversaire de son épouse à M______ au mois de juin 2019 n'avait pas été soumise</w:t>
      </w:r>
    </w:p>
    <w:p>
      <w:r>
        <w:t>- 17/20 - P/518/2020 à l'approbation de C______ LTD, contrevenant ainsi à l'art. 11.1.6 de la convention d'actionnaires du 13 juin 2018, prévoyant que toute transaction d'un montant supérieur à USD 20'000.- devait être approuvée par les actionnaires de G______ SA. Ainsi, en mettant à la charge des sociétés du groupe G______ – dont la situation de surendettement a été communiquée au TPI le 23 décembre 2019 – des frais qui n'étaient a priori ni nécessaires ni raisonnables, le recourant a failli à ses devoirs de diligence et de fidélité auxquels il était soumis en tant que personne chargée de veiller à la bonne gestion des intérêts pécuniaires de ces entités. Par ailleurs, il résulte du dossier qu'il s'est versé un salaire de CHF 27'500.- au mois de juin 2018 pour son activité au sein des filiales du groupe. Or, d'après ses contrats de travail des 28 mai 2018, ayant pris effet le 1er juin 2018, il ne pouvait prétendre à une rémunération qu'à la condition que les affaires desdites sociétés soient rentables et qu'un bénéfice net soit dégagé à la clôture de l'exercice 2018, condition qui n'était pas remplie, en l'espèce. Quand bien même sa responsabilité pénale n'a pas été retenue, le recourant s'est néanmoins rendu coupable d'agissements contraires à ses obligations professionnelles de diligence et de fidélité, donnant, semble-t-il, la préférence à ses intérêts personnels. Ainsi, ses manquements, par rapport aux règles du droit de la société anonyme principalement, étaient de nature à susciter auprès des sociétés plaignantes des interrogations quant à la manière dont il avait géré les sociétés litigieuses. Dans ces circonstances, le Ministère public était légitimé à ouvrir une procédure des chefs, notamment, d'abus de confiance (art. 138 CP) et de gestion déloyale (art. 158 CP). Le lien de causalité adéquate est réalisé et le recourant ne saurait reprocher aux autorités de poursuite pénale d'avoir procédé par excès de zèle. L'imputation, par le Procureur, des frais de la cause au recourant est dès lors exempte de critique dans son résultat, étant précisé que les autres infractions dont l'intéressé était prévenu (art. 146, 251, 322septies CP et 23 LCD) n'ont pas engendré de frais particuliers, n'ayant pas fait l'objet de mesures d'instruction spécifiques, dont les coûts pourraient être isolés. L'ordonnance querellée ne prête dès lors pas le flanc à la critique et sera confirmée sur ce point.</w:t>
      </w:r>
    </w:p>
    <w:p>
      <w:r>
        <w:rPr>
          <w:b/>
        </w:rPr>
        <w:t>E. 4</w:t>
      </w:r>
    </w:p>
    <w:p>
      <w:r>
        <w:t>Le recourant fait grief au Ministère public d'avoir mis à sa charge l'indemnité de procédure due à C______ LTD, fixée à CHF 6'028.80.-.</w:t>
      </w:r>
    </w:p>
    <w:p>
      <w:r>
        <w:rPr>
          <w:b/>
        </w:rPr>
        <w:t>E. 4.1</w:t>
      </w:r>
    </w:p>
    <w:p>
      <w:r>
        <w:t>L'art. 433 al. 1 CPP permet à la partie plaignante de demander au prévenu une juste indemnité pour les dépenses obligatoires occasionnées par la procédure</w:t>
      </w:r>
    </w:p>
    <w:p>
      <w:r>
        <w:t>- 18/20 - P/518/2020 lorsqu'elle obtient gain de cause (let. a) ou lorsque le prévenu est astreint au paiement des frais (let. b). Cette seconde hypothèse vise le prévenu astreint au paiement des frais selon l'art. 426 al. 2 CPP (JEANNERET / A. KUHN / C. PERRIER DEPEURSINGE (éds), Commentaire romand : Code de procédure pénale suisse, 2ème éd., Bâle 2019, n. 5 ad art. 433).</w:t>
      </w:r>
    </w:p>
    <w:p>
      <w:r>
        <w:rPr>
          <w:b/>
        </w:rPr>
        <w:t>E. 4.2</w:t>
      </w:r>
    </w:p>
    <w:p>
      <w:r>
        <w:t>En l'occurrence, C______ LTD a expressément dirigé contre le recourant une demande d'indemnisation pour ses frais de défense, liés à la procédure. L'intéressé ayant été condamné à supporter les frais de l'État, par application de l'art. 426 al. 2 CPP, les conditions d'application de l'art. 433 al.1 let. b CPP sont par conséquent réalisées. Le recours est ainsi infondé sur ce point également.</w:t>
      </w:r>
    </w:p>
    <w:p>
      <w:r>
        <w:rPr>
          <w:b/>
        </w:rPr>
        <w:t>E. 5</w:t>
      </w:r>
    </w:p>
    <w:p>
      <w:r>
        <w:t>Le recourant se prévaut d'une violation de l'art. 430 al.1 let. a CPP et conclut au versement d'une indemnité de CHF 22'670.55 au total à titre de frais de défense.</w:t>
      </w:r>
    </w:p>
    <w:p>
      <w:r>
        <w:rPr>
          <w:b/>
        </w:rPr>
        <w:t>E. 5.1</w:t>
      </w:r>
    </w:p>
    <w:p>
      <w:r>
        <w:t>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w:t>
      </w:r>
    </w:p>
    <w:p>
      <w:r>
        <w:rPr>
          <w:b/>
        </w:rPr>
        <w:t>E. 5.2</w:t>
      </w:r>
    </w:p>
    <w:p>
      <w:r>
        <w:t>In casu, le recourant a été astreint au paiement des frais en application de l'art. 426 al. 2 CPP. Dès lors que la réglementation relative à l'indemnisation suit celle se rapportant aux frais, le refus du Procureur de dédommager l'intéressé ne prête nullement le flanc à la critique.</w:t>
      </w:r>
    </w:p>
    <w:p>
      <w:r>
        <w:rPr>
          <w:b/>
        </w:rPr>
        <w:t>E. 6</w:t>
      </w:r>
    </w:p>
    <w:p>
      <w:r>
        <w:t>Justifiée, l'ordonnance querellée sera donc confirmée.</w:t>
      </w:r>
    </w:p>
    <w:p>
      <w:r>
        <w:rPr>
          <w:b/>
        </w:rPr>
        <w:t>E. 7</w:t>
      </w:r>
    </w:p>
    <w:p>
      <w:r>
        <w:t>Le recourant, qui succombe, supportera les frais envers l'État, qui seront fixés en totalité à CHF 900.- (art. 428 al. 1 CPP et 13 al. 1 du Règlement fixant le tarif des frais en matière pénale, RTFMP ; E 4 10.03).</w:t>
      </w:r>
    </w:p>
    <w:p>
      <w:r>
        <w:rPr>
          <w:b/>
        </w:rPr>
        <w:t>E. 8</w:t>
      </w:r>
    </w:p>
    <w:p>
      <w:r>
        <w:t>L’intimée, partie plaignante, a conclu à des dépens, qu’elle n’a cependant ni chiffré ni justifié. Il ne peut donc lui en être alloué (art. 433 al. 2 CPP). * * * * *</w:t>
      </w:r>
    </w:p>
    <w:p>
      <w:r>
        <w:t>- 19/20 - P/518/2020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