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ACPR/755/2022 vom 22. Juli 2022</w:t>
      </w:r>
    </w:p>
    <w:p>
      <w:r>
        <w:t>GE Cour de justice, 2022-07-22, FR</w:t>
      </w:r>
    </w:p>
    <w:p>
      <w:r>
        <w:rPr>
          <w:b/>
        </w:rPr>
        <w:t xml:space="preserve">Quelle: </w:t>
      </w:r>
      <w:r>
        <w:t>https://mcp.opencaselaw.ch/entscheid/ge_gerichte_ACPR_755_2022</w:t>
      </w:r>
    </w:p>
    <w:p>
      <w:r>
        <w:t>FR: GE_GERICHTE ACPR/755/2022 du 22 juillet 2022</w:t>
      </w:r>
    </w:p>
    <w:p>
      <w:r>
        <w:t>IT: GE_GERICHTE ACPR/755/2022 del 22 luglio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arrêt du Tribunal fédéral 1B_242/2018 du 6 septembre 2018 consid. 2.4),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réalisation des conditions pour une expertise psychiatrique.</w:t>
      </w:r>
    </w:p>
    <w:p>
      <w:r>
        <w:t>- 5/8 - P/14598/2017</w:t>
      </w:r>
    </w:p>
    <w:p>
      <w:r>
        <w:rPr>
          <w:b/>
        </w:rPr>
        <w:t>E. 2.1</w:t>
      </w:r>
    </w:p>
    <w:p>
      <w:r>
        <w:t>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2ème éd., Bâle 2016, n. 2 ad art. 62).</w:t>
      </w:r>
    </w:p>
    <w:p>
      <w:r>
        <w:rPr>
          <w:b/>
        </w:rPr>
        <w:t>E. 2.2</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p. 274; arrêt du Tribunal fédéral 6B_341/2010 du 20 juillet 2010 consid. 3.3.1).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soit une capacité de s'adapter aux nouveaux impératifs de la situation, par exemple d'attendre ou même de se représenter mentalement une occasion de passer à l'acte. De manière plus générale, la simple possibilité, voire même la vraisemblance, que l'infraction perpétrée puisse avoir une origine psychique ne suffit pas à faire naître un doute sérieux (L. MOREILLON / A. MACALUSO / N. QUELOZ / N. DONGOIS (éds), Commentaire romand, Code pénal I, art. 1-110 CP, 2ème éd., Bâle 2021, n. 15 ad art. 20 et les références citées).</w:t>
      </w:r>
    </w:p>
    <w:p>
      <w:r>
        <w:rPr>
          <w:b/>
        </w:rPr>
        <w:t>E. 2.3</w:t>
      </w:r>
    </w:p>
    <w:p>
      <w:r>
        <w:t>À teneur de l'art. 182 CPP, le ministère public et les tribunaux ont recours à un ou plusieurs experts lorsqu'ils ne disposent pas des connaissances et des capacités nécessaires pour constater ou juger un état de fait.</w:t>
      </w:r>
    </w:p>
    <w:p>
      <w:r>
        <w:t>- 6/8 - P/14598/2017 L'expertise ne doit jamais porter sur une appréciation juridique des faits (ATF 118 Ia 144 consid. 1c p. 145). Constitue une question intrinsèquement juridique l'appréciation des preuves, notamment l'appréciation de la crédibilité d'un témoin ou d'un accusé adulte ne souffrant pas de troubles psychiques (Y. JEANNERET / A. KUHN / C. PERRIER DEPEURSINGE (éds), Commentaire romand : Code de procédure pénale suisse, 2ème éd., Bâle 2019, n. 2b ad art. 182).</w:t>
      </w:r>
    </w:p>
    <w:p>
      <w:r>
        <w:rPr>
          <w:b/>
        </w:rPr>
        <w:t>E. 2.4</w:t>
      </w:r>
    </w:p>
    <w:p>
      <w:r>
        <w:t>En l'espèce, le Ministère public, à teneur de la décision déférée et de ses observations, a repris exactement les mêmes motifs qui l'avaient conduit à ordonner le premier mandat d'expertise, à savoir "l'état actuel des investigations" et la "nature spécifique" des actes retenus. Or, les développements de la Chambre de céans dans son précédent arrêt peuvent être transposés, mutatis mutandis, à la situation actuelle. Le dossier n'offre toujours pas d'assise suffisante pour douter de la responsabilité du recourant au moment des faits dont il est soupçonné. Sa prétendue attitude distante par rapport aux faits reprochés et son "absence d'empathie" n'étaient déjà pas susceptibles, à l'époque, de justifier la mise en œuvre d'une telle expertise et ne le sont toujours pas aujourd'hui. La situation entre le prononcé des deux mandats d'expertise successifs n'a pas changé et les actes d'instruction intervenus dans l'intervalle, à savoir les audiences des 12 octobre et 12 novembre 2021, ont uniquement porté sur la prise en charge thérapeutique de la plaignante durant son enfance et son adolescence, permettant d'évaluer la crédibilité de ses accusations. Il n'a nullement été question du recourant lors de ces audiences, qui n'ont dès lors pas pu apporter d'indices sérieux et nouveaux d'irresponsabilité de celui-ci, ni d'une menace de sa part pour la sécurité publique ou d'une dangerosité particulière. Or, seuls des soupçons d'irresponsabilité (art. 20 CP), de grave trouble mental (art. 59 ss CP) ou d'addiction (art. 60 CP) peuvent justifier qu'une expertise psychiatrique soit ordonnée, dans la perspective d'un renvoi en jugement. En l'occurrence, les éléments au dossier ne contiennent pas d'indices suffisants d'un trouble mental, la personnalité du recourant – dépeinte par les plaignants – et les faits dénoncés – contestés – ne suffisant en l'état pas, étant relevé que le Ministère public ne le soutient pas non plus. Quant à "l'abus excessif d'alcool" allégué par les plaignants, il ne constitue pas un indice sérieux d'une addiction. Ainsi, à l'instar du précédent arrêt de la Chambre de céans, les conditions pour ordonner une expertise psychiatrique n'apparaissent toujours pas réalisées.</w:t>
      </w:r>
    </w:p>
    <w:p>
      <w:r>
        <w:rPr>
          <w:b/>
        </w:rPr>
        <w:t>E. 3</w:t>
      </w:r>
    </w:p>
    <w:p>
      <w:r>
        <w:t>Fondé, le recours doit être admis et le mandat querellé annulé.</w:t>
      </w:r>
    </w:p>
    <w:p>
      <w:r>
        <w:t>- 7/8 - P/14598/2017</w:t>
      </w:r>
    </w:p>
    <w:p>
      <w:r>
        <w:rPr>
          <w:b/>
        </w:rPr>
        <w:t>E. 4</w:t>
      </w:r>
    </w:p>
    <w:p>
      <w:r>
        <w:t>L'admission du recours ne donne pas lieu à la perception de frais (art. 428 al. 1 CPP).</w:t>
      </w:r>
    </w:p>
    <w:p>
      <w:r>
        <w:rPr>
          <w:b/>
        </w:rPr>
        <w:t>E. 5.1</w:t>
      </w:r>
    </w:p>
    <w:p>
      <w:r>
        <w:t>À teneur de l'art. 436 al. 2 CPP, le prévenu qui obtient gain de cause à l'issue de la procédure de recours a droit à une juste indemnité pour ses dépenses.</w:t>
      </w:r>
    </w:p>
    <w:p>
      <w:r>
        <w:rPr>
          <w:b/>
        </w:rPr>
        <w:t>E. 5.2</w:t>
      </w:r>
    </w:p>
    <w:p>
      <w:r>
        <w:t>En l'espèce, le conseil du recourant a produit une note d'honoraires pour CHF 3'715.65, TVA (7.7%) incluse, correspondant à 17h d'activité pour la rédaction du recours, dont 14h au tarif horaire de CHF 150.- et 3h au tarif horaire de CHF 450.-. Compte tenu de l'ampleur de l'écriture (recours de quinze pages, dont une de garde, une de conclusions), dont une part prépondérante est consacrée à des faits figurant déjà au dossier et des développements non pertinents pour la cause, cette durée paraît exagérée et sera ramenée à 3h d'activité, au tarif horaire de CHF 450.-, soit une indemnité de CHF 1'453.95 (TVA comprise). * * * * *</w:t>
      </w:r>
    </w:p>
    <w:p>
      <w:r>
        <w:t>- 8/8 - P/14598/2017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