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ACPR/755/2020 vom 15. September 2020</w:t>
      </w:r>
    </w:p>
    <w:p>
      <w:r>
        <w:t>GE Cour de justice, 2020-09-15, FR</w:t>
      </w:r>
    </w:p>
    <w:p>
      <w:r>
        <w:rPr>
          <w:b/>
        </w:rPr>
        <w:t xml:space="preserve">Quelle: </w:t>
      </w:r>
      <w:r>
        <w:t>https://mcp.opencaselaw.ch/entscheid/ge_gerichte_ACPR_755_2020</w:t>
      </w:r>
    </w:p>
    <w:p>
      <w:r>
        <w:t>FR: GE_GERICHTE ACPR/755/2020 du 15 septembre 2020</w:t>
      </w:r>
    </w:p>
    <w:p>
      <w:r>
        <w:t>IT: GE_GERICHTE ACPR/755/2020 del 15 settembre 2020</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se plaint de ne pas avoir été entendu par le TAPEM.</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w:t>
      </w:r>
    </w:p>
    <w:p>
      <w:r>
        <w:t>- 6/11 - PM/850/2020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2.2</w:t>
      </w:r>
    </w:p>
    <w:p>
      <w:r>
        <w:t>En l'espèce, le recourant n'a pas retiré le pli contenant la lettre du TAPEM, du 23 juillet 2020, l'informant des raisons pour lesquelles il serait statué sans audience sur l'examen annuel de la mesure et lui accordant un délai pour se prononcer par écrit. Le recourant ayant toutefois pu s'exprimer par écrit devant l'autorité de recours, qui jouit d'un plein pouvoir d'examen en droit, en fait et en opportunité (art. 393 al. 2 CPP ; ATF 137 I 195 consid. 2.3.2 p. 197; arrêt du Tribunal fédéral 1B_524/2012 du 15 novembre 2012 consid. 2.1), l'éventuelle violation de son droit d'être entendu par l'autorité précédente est désormais réparée.</w:t>
      </w:r>
    </w:p>
    <w:p>
      <w:r>
        <w:rPr>
          <w:b/>
        </w:rPr>
        <w:t>E. 3</w:t>
      </w:r>
    </w:p>
    <w:p>
      <w:r>
        <w:t>À bien le comprendre, le recourant souhaite comparaître devant l'autorité de recours. Il ne peut toutefois être donné suite à cette requête, dans la mesure où le recours fait l'objet d'une procédure écrite (art. 397 al. 1 CPP) et que l'art. 29 al. 2 Cst. ne confère pas le droit d'être entendu oralement (ATF 134 I 140 consid. 5.3 p. 148 et les références citées).</w:t>
      </w:r>
    </w:p>
    <w:p>
      <w:r>
        <w:rPr>
          <w:b/>
        </w:rPr>
        <w:t>E. 4</w:t>
      </w:r>
    </w:p>
    <w:p>
      <w:r>
        <w:t>C'est en vain que le recourant invoque une violation des art. 7 et 8 Cst. féd. en relation avec l'absence, dans le jugement querellé, du titre "Monsieur" devant son nom. Il constatera que la Chambre de céans procède de la même manière, à l'égard de tous les justiciables, dont le respect de la dignité humaine est, précisément, garanti par la mention de leur prénom et nom, ce qui permet à chacun de s'assurer non seulement que la décision lui est destinée, mais qu'elle a été rendue en tenant compte de ses particularités personnelles, ce qui témoigne de l'égard porté à chaque justiciable.</w:t>
      </w:r>
    </w:p>
    <w:p>
      <w:r>
        <w:rPr>
          <w:b/>
        </w:rPr>
        <w:t>E. 5</w:t>
      </w:r>
    </w:p>
    <w:p>
      <w:r>
        <w:t>Le recourant fait grief au TAPEM d'avoir ordonné la prolongation de la mesure institutionnelle, qu'il considère désormais disproportionnée.</w:t>
      </w:r>
    </w:p>
    <w:p>
      <w:r>
        <w:rPr>
          <w:b/>
        </w:rPr>
        <w:t>E. 5.1</w:t>
      </w:r>
    </w:p>
    <w:p>
      <w:r>
        <w:t>Le juge peut ordonner un traitement institutionnel des troubles mentaux au sens de l'art. 59 al. 1 CP à l'encontre d'un auteur souffrant d'un grave trouble mental qui a commis un crime ou un délit en relation avec ce trouble et qu'il est à prévoir que cette mesure le détournera de nouvelles infractions en relation avec ce trouble.</w:t>
      </w:r>
    </w:p>
    <w:p>
      <w:r>
        <w:rPr>
          <w:b/>
        </w:rPr>
        <w:t>E. 5.2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w:t>
      </w:r>
    </w:p>
    <w:p>
      <w:r>
        <w:t>- 7/11 - PM/850/2020</w:t>
      </w:r>
    </w:p>
    <w:p>
      <w:r>
        <w:t>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 à chaque fois (art. 63 al. 4 CP)</w:t>
      </w:r>
    </w:p>
    <w:p>
      <w:r>
        <w:rPr>
          <w:b/>
        </w:rPr>
        <w:t>E. 5.3</w:t>
      </w:r>
    </w:p>
    <w:p>
      <w:r>
        <w:t>Toute sanction pénale qui restreint un droit fondamental doit respecter le principe de la proportionnalité (art. 36 al. 3 Cst.). En matière de mesure, ce principe a été concrétisé à l'art. 56 CP. Aux termes de cette disposition,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précité, 6B_826/2013 du 12 décembre 2013 consid. 2.8.1 et 6B_1167/2014 du 26 août 2015 consid. 3.1).</w:t>
      </w:r>
    </w:p>
    <w:p>
      <w:r>
        <w:rPr>
          <w:b/>
        </w:rPr>
        <w:t>E. 5.4</w:t>
      </w:r>
    </w:p>
    <w:p>
      <w:r>
        <w:t>Pour ordonner la mesure, le juge se fonde sur une expertise, qui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p. 128; arrêts du Tribunal fédéral 6B_371/2016 du 10 février 2017 consid. 1.1.4; 6S_250/2006 du 28 septembre 2006, consid. 1.5; 6S_46/2004 du 2 avril 2004, consid. 2.1.3).</w:t>
      </w:r>
    </w:p>
    <w:p>
      <w:r>
        <w:t>Comme tous les autres moyens de preuve, les expertises sont soumises à la libre appréciation du juge. S'agissant des questions dont la réponse demande des connaissances professionnelles particulières, le juge ne peut s'écarter de l'expertise</w:t>
      </w:r>
    </w:p>
    <w:p>
      <w:r>
        <w:t>- 8/11 - PM/850/2020 que lorsque des circonstances ou des indices importants et bien établis en ébranlent sérieusement la crédibilité; il est alors tenu de motiver sa décision de ne pas suivre le rapport d'expertise (ATF 142 IV 49 consid. 2.1.3 p. 53; 118 Ia 144 consid. 1c p. 145).</w:t>
      </w:r>
    </w:p>
    <w:p>
      <w:r>
        <w:rPr>
          <w:b/>
        </w:rPr>
        <w:t>E. 5.5</w:t>
      </w:r>
    </w:p>
    <w:p>
      <w:r>
        <w:t>En l'espèce, le rapport d'expertise psychiatrique, signé par les deux experts, est conforme aux exigences légales et il n'existe aucun élément de nature à remettre en question ses conclusions. Les soupçons que le recourant nourrit à l'égard d'un prétendu enregistrement illicite, par les experts, des quatre entrevues au cours desquelles il a pu s'entretenir avec ces derniers, aurait dû, s'il s'y estimait fondé, faire l'objet d'une dénonciation à l'autorité de poursuite pénale dans le délai de plainte (art. 31 et 179septies CP), ce qu'il n'a apparemment pas fait. C'est donc en vain qu'il tente désormais, à l'occasion de l'examen de la mesure, de discréditer l'expertise psychiatrique, dont il ne semble toutefois pas remettre en question la conclusion relative à l'existence d'un trouble mental, puisqu'il se qualifie lui-même de personne "particulièrement vulnérable" en raison du trouble dont il souffre.</w:t>
      </w:r>
    </w:p>
    <w:p>
      <w:r>
        <w:t>En l'occurrence, l'expertise démontre que les faits pour lesquels le recourant a été jugé étaient en relation avec la décompensation dépressive et psychotique liée à la maladie psychique dont il souffre, et à sa dépendance à l'alcool. Contrairement à ce que semble insinuer le recourant, la mesure n'a nullement été ordonnée au seul motif qu'il souffre d'un trouble mental grave, mais en tenant compte de tous ses critères personnels et ses conditions de vie, en lien avec les événements de 2017.</w:t>
      </w:r>
    </w:p>
    <w:p>
      <w:r>
        <w:t>À teneur des rapports versés au dossier – y compris celui du SPI, qui était autorisé à se prononcer par suite de l'assistance de probation ordonnée par le Tribunal de police –, le traitement ambulatoire a permis la stabilisation – sociale, financière et médicale – de la situation du recourant, qui vit à domicile et dont la consommation d'alcool a considérablement diminué depuis sa dernière hospitalisation, en avril-mai 2019.</w:t>
      </w:r>
    </w:p>
    <w:p>
      <w:r>
        <w:t>Si les améliorations susmentionnées doivent être saluées, elles sont toutefois récentes – la dernière hospitalisation datant d'avril-mai 2019 – et ne suffisent donc pas, en l'état, à fonder une levée de la mesure. Les objectifs thérapeutiques, destinés à contenir le risque de réitération constaté par les experts, consistent désormais en l'amélioration de la symptomatologie dépressive et négative chronique, au maintien de la modération de la consommation d'alcool et en la tentative de réhabilitation du recourant sur le plan social. Le traitement ambulatoire n'est donc pas voué à l'échec.</w:t>
      </w:r>
    </w:p>
    <w:p>
      <w:r>
        <w:t>Sa prolongation, jusqu'au prochain contrôle annuel, n'est en rien disproportionnée. L'atteinte à la liberté personnelle du recourant engendrée par la mesure (suivi thérapeutique, entretiens médicaux, traitement médicamenteux) demeure raisonnable au regard du bien juridiquement protégé – soit la vie et l'intégrité physique de tiers – susceptible d'être mis en danger par une récidive.</w:t>
      </w:r>
    </w:p>
    <w:p>
      <w:r>
        <w:t>- 9/11 - PM/850/2020</w:t>
      </w:r>
    </w:p>
    <w:p>
      <w:r>
        <w:t>Le recours s'avère ainsi infondé, ce que la Chambre de céans pouvait constater sans échange d'écritures ni débats, conformément à l'art. 390 al. 2 et 5 a contrario CPP.</w:t>
      </w:r>
    </w:p>
    <w:p>
      <w:r>
        <w:rPr>
          <w:b/>
        </w:rPr>
        <w:t>E. 6</w:t>
      </w:r>
    </w:p>
    <w:p>
      <w:r>
        <w:t>Justifié, le jugement querellé sera donc confirmé.</w:t>
      </w:r>
    </w:p>
    <w:p>
      <w:r>
        <w:rPr>
          <w:b/>
        </w:rPr>
        <w:t>E. 7</w:t>
      </w:r>
    </w:p>
    <w:p>
      <w:r>
        <w:t>Le recourant, qui succombe, supportera les frais envers l'État, qui seront fixés à CHF 600.-, y compris un émolument de décision (art. 428 al. 1 CPP et 13 al. 1 du Règlement fixant le tarif des frais en matière pénale, RTFMP ; E 4 10.03). * * * * *</w:t>
      </w:r>
    </w:p>
    <w:p>
      <w:r>
        <w:t>- 10/11 - PM/850/2020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