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ACPR/754/2024 vom 27. Juni 2024</w:t>
      </w:r>
    </w:p>
    <w:p>
      <w:r>
        <w:t>GE Cour de justice, 2024-06-27, FR</w:t>
      </w:r>
    </w:p>
    <w:p>
      <w:r>
        <w:rPr>
          <w:b/>
        </w:rPr>
        <w:t xml:space="preserve">Quelle: </w:t>
      </w:r>
      <w:r>
        <w:t>https://mcp.opencaselaw.ch/entscheid/ge_gerichte_ACPR_754_2024</w:t>
      </w:r>
    </w:p>
    <w:p>
      <w:r>
        <w:t>FR: GE_GERICHTE ACPR/754/2024 du 27 juin 2024</w:t>
      </w:r>
    </w:p>
    <w:p>
      <w:r>
        <w:t>IT: GE_GERICHTE ACPR/754/2024 del 27 giugno 2024</w:t>
      </w:r>
    </w:p>
    <w:p>
      <w:pPr>
        <w:pStyle w:val="Heading2"/>
      </w:pPr>
      <w:r>
        <w:t>Erwägungen</w:t>
      </w:r>
    </w:p>
    <w:p>
      <w:r>
        <w:rPr>
          <w:b/>
        </w:rPr>
        <w:t>E. 1.1</w:t>
      </w:r>
    </w:p>
    <w:p>
      <w:r>
        <w:t>Le recours est recevable pour avoir été déposé dans le délai prescrit (art. 396 al. 1 CPP), nonobstant la prolongation du délai de garde postal, la notification du pli recommandé contenant l'ordonnance litigieuse étant réputée survenue le dernier jour du délai de garde de sept jours courant dès le 1er juillet 2024, soit le 8 juillet 2024. Il concerne en outre une ordonnance sujette à recours auprès de la Chambre de céans (art. 393 al. 1 let. a CPP) et émane du plaignant qui, partie à la procédure (art. 104</w:t>
      </w:r>
    </w:p>
    <w:p>
      <w:r>
        <w:t>- 4/7 - P/5766/2024 al. 1 let. b CPP), a qualité pour agir, ayant un intérêt juridiquement protégé à la modification ou à l'annulation de la décision querellée (art. 382 al. 1 CPP).</w:t>
      </w:r>
    </w:p>
    <w:p>
      <w:r>
        <w:rPr>
          <w:b/>
        </w:rPr>
        <w:t>E. 1.2</w:t>
      </w:r>
    </w:p>
    <w:p>
      <w:r>
        <w:t>Bien qu'il émane d'un justiciable en personne, le recours apparaît très limite sous l'angle de la motivation (art. 385 al. 1 CPP), étant rappelé que la motivation d'un acte de recours doit être entièrement contenue dans l'acte de recours lui-même et ne peut être complétée ou corrigée ultérieurement (arrêt du Tribunal fédéral 1B_183/2012 du 20 novembre 2012 consid. 2). Sa recevabilité sous cet angle peut quoi qu'il en soit rester ouverte vu ce qui suit.</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w:t>
      </w:r>
    </w:p>
    <w:p>
      <w:r>
        <w:rPr>
          <w:b/>
        </w:rPr>
        <w:t>E. 2.2</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w:t>
      </w:r>
    </w:p>
    <w:p>
      <w:r>
        <w:rPr>
          <w:b/>
        </w:rPr>
        <w:t>E. 2.3</w:t>
      </w:r>
    </w:p>
    <w:p>
      <w:r>
        <w:t>En l'espèce, à comprendre le recourant, il se plaint de n'avoir pas été indemnisé civilement par l'assurance B______ à la suite de l'accident de la circulation dont il avait été victime le 21 juin 2022, celle-ci se fondant sur le rapport de son médecin- conseil. S'il estime cette décision erronée, il lui appartient de la contester par les voies de droit civiles prévues à cet effet.</w:t>
      </w:r>
    </w:p>
    <w:p>
      <w:r>
        <w:t>- 5/7 - P/5766/2024 Sa plainte pénale n'a pas vocation d'y remédier en tant que le recourant n'étaye nullement ses accusations pénales contre les protagonistes visés, se limitant à exiger le paiement des dommages-intérêts auxquels il estime avoir droit. Partant, et indépendamment du fait que son autre plainte pénale similaire se soit soldée par une ordonnance de non-entrée en matière contre laquelle il n'a pas recouru, il y a lieu de considérer, à l'instar du Ministère public, que les éléments constitutifs d'une quelconque infraction pénale ne sont pas réunis.</w:t>
      </w:r>
    </w:p>
    <w:p>
      <w:r>
        <w:rPr>
          <w:b/>
        </w:rPr>
        <w:t>E. 3</w:t>
      </w:r>
    </w:p>
    <w:p>
      <w:r>
        <w:t>Infondé, le recours sera ainsi rejeté, ce que la Chambre pénale de recours pouvait constater d'emblée sans échange d'écritures ni débats (art. 390 al. 2 et 5 a contrario CPP).</w:t>
      </w:r>
    </w:p>
    <w:p>
      <w:r>
        <w:rPr>
          <w:b/>
        </w:rPr>
        <w:t>E. 4</w:t>
      </w:r>
    </w:p>
    <w:p>
      <w:r>
        <w:t>Le recourant, qui succombe, supportera les frais envers l'État, qui seront fixés en totalité à CHF 900.- (art. 428 al. 1 CPP et 13 al. 1 du Règlement fixant le tarif des frais en matière pénale, RTFMP ; E 4 10.03). * * * * *</w:t>
      </w:r>
    </w:p>
    <w:p>
      <w:r>
        <w:t>- 6/7 - P/5766/2024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