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ACPR/753/2019 vom 17. Juni 2019</w:t>
      </w:r>
    </w:p>
    <w:p>
      <w:r>
        <w:t>GE Cour de justice, 2019-06-17, FR</w:t>
      </w:r>
    </w:p>
    <w:p>
      <w:r>
        <w:rPr>
          <w:b/>
        </w:rPr>
        <w:t xml:space="preserve">Quelle: </w:t>
      </w:r>
      <w:r>
        <w:t>https://mcp.opencaselaw.ch/entscheid/ge_gerichte_ACPR_753_2019</w:t>
      </w:r>
    </w:p>
    <w:p>
      <w:r>
        <w:t>FR: GE_GERICHTE ACPR/753/2019 du 17 juin 2019</w:t>
      </w:r>
    </w:p>
    <w:p>
      <w:r>
        <w:t>IT: GE_GERICHTE ACPR/753/2019 del 17 giugno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De jurisprudence constante, la motivation d'un recours doit être entièrement contenue dans l'acte de recours lui-même et ne saurait dès lors être complétée ou corrigée ultérieurement (arrêt du Tribunal fédéral 1B_183/2012 du 20 novembre 2012 consid. 2).</w:t>
      </w:r>
    </w:p>
    <w:p>
      <w:r>
        <w:t>Partant, le pli de la recourante du 8 juillet 2019 et ses annexes – qui se réfèrent non pas à des faits nouveaux mais à des éléments déjà connus d'elle au moment du dépôt du recours –, sont irrecevables, en tant qu'ils visent à compléter ce dernier.</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de ne pas être entré en matière sur sa plainte du 13 septembre 2018.</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w:t>
      </w:r>
    </w:p>
    <w:p>
      <w:r>
        <w:t>- 6/10 - P/17982/2018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3.1.2</w:t>
      </w:r>
    </w:p>
    <w:p>
      <w:r>
        <w:t>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w:t>
      </w:r>
    </w:p>
    <w:p>
      <w:r>
        <w:rPr>
          <w:b/>
        </w:rPr>
        <w:t>E. 3.3</w:t>
      </w:r>
    </w:p>
    <w:p>
      <w:r>
        <w:t>Les infractions précitées ne sont punies que sur plainte. Selon l'art. 31 CP, le droit de porter plainte se prescrit par trois mois. Le délai court du jour où l'ayant droit a connu l'auteur de l'infraction (art. 31 CP).</w:t>
      </w:r>
    </w:p>
    <w:p>
      <w:r>
        <w:rPr>
          <w:b/>
        </w:rPr>
        <w:t>E. 3.4</w:t>
      </w:r>
    </w:p>
    <w:p>
      <w:r>
        <w:t>En l'espèce, la recourante déclare avoir pris connaissance de l'attestation litigieuse, produite à la P/1______/2016 par un courrier d'avocat du 2 février 2017, le 15 juin 2018. Or, il ressort de cette même procédure que son conseil a eu accès au dossier et en a obtenu copies bien avant, soit la première fois le 10 octobre 2017, puis les 2 novembre 2017, 18 décembre 2017, 29 janvier 2018 et 8 mars 2018 à tout le moins. La recourante, qui comparaît par avocat, a donc eu, nonobstant sa détention, connaissance des prétendues atteintes à l'honneur dénoncées bien avant le 15 juin 2018. Sa plainte du 13 septembre 2018 apparaît ainsi tardive, ce qui justifiait une non- entrée en matière sur la base de l'art. 310 al. 1 let. b CPP.</w:t>
      </w:r>
    </w:p>
    <w:p>
      <w:r>
        <w:t>- 8/10 - P/17982/2018 4. Il n'appartient pas à la Chambre de céans de se pencher sur les modalités organisationnelles de la police, étant relevé qu'il n'était pas insolite que l'enquête préliminaire de la plainte de la recourante échoie à la brigade financière, dès lors qu'elle s'inscrivait dans le contexte plus large du litige financier objet de la P/1______/2016 pour blanchiment et faux dans les titres.</w:t>
      </w:r>
    </w:p>
    <w:p>
      <w:r>
        <w:t>Il était par ailleurs parfaitement loisible au Ministère public, en sa qualité de direction de la procédure, dans le cadre de la procédure préliminaire, de donner des injonctions à la police (art. 307 al. 2 CPP), laquelle lui rend compte de ses investigations (art. 307 al. 3 CPP), sans qu'il n'ait besoin de s'en expliquer davantage.</w:t>
      </w:r>
    </w:p>
    <w:p>
      <w:r>
        <w:t>Les griefs formulés à cet égard par la recourante tombent ainsi à faux. 5. Enfin, la Chambre de céans ne saurait aborder les accusations de faux dans les titres reprochées pour la première fois par la recourante dans ses écritures de recours, faute de décision préalable du Ministère public sur ce point (art. 393 al. 1 let. a CPP). 6. Justifiée, la décision querellée sera donc confirmée, par substitution de motifs.</w:t>
      </w:r>
    </w:p>
    <w:p>
      <w:r>
        <w:rPr>
          <w:b/>
        </w:rPr>
        <w:t>E. 7</w:t>
      </w:r>
    </w:p>
    <w:p>
      <w:r>
        <w:t>La recourante, qui succombe, supportera les frais envers l'État, qui seront fixés en totalité à CHF 1'000.- (art. 428 al. 1 CPP et 13 al. 1 du Règlement fixant le tarif des frais en matière pénale, RTFMP ; E 4 10.03). * * * * *</w:t>
      </w:r>
    </w:p>
    <w:p>
      <w:r>
        <w:t>- 9/10 - P/17982/2018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