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ACPR/752/2023 vom 28. September 2023</w:t>
      </w:r>
    </w:p>
    <w:p>
      <w:r>
        <w:t>GE Cour de justice, 2023-09-28, FR</w:t>
      </w:r>
    </w:p>
    <w:p>
      <w:r>
        <w:rPr>
          <w:b/>
        </w:rPr>
        <w:t xml:space="preserve">Quelle: </w:t>
      </w:r>
      <w:r>
        <w:t>https://mcp.opencaselaw.ch/entscheid/ge_gerichte_ACPR_752_2023</w:t>
      </w:r>
    </w:p>
    <w:p>
      <w:r>
        <w:t>FR: GE_GERICHTE ACPR/752/2023 du 28 septembre 2023</w:t>
      </w:r>
    </w:p>
    <w:p>
      <w:r>
        <w:t>IT: GE_GERICHTE ACPR/752/2023 del 28 settembre 2023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tout risque de collusion vis-à-vis de D______.</w:t>
      </w:r>
    </w:p>
    <w:p>
      <w:r>
        <w:rPr>
          <w:b/>
        </w:rPr>
        <w:t>E. 2.1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Cette disposition a été conçue avant tout pour éviter les risques de collusion ou de récidive, p. ex. en matière de violences domestiques (Y. JEANNERET / A. KUHN / C. PERRIER DEPEURSINGE (éds), Commentaire romand : Code de procédure pénale suisse, 2ème éd., Bâle 2019, n. 14 ad art. 237).</w:t>
      </w:r>
    </w:p>
    <w:p>
      <w:r>
        <w:rPr>
          <w:b/>
        </w:rPr>
        <w:t>E. 2.2</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w:t>
      </w:r>
    </w:p>
    <w:p>
      <w:r>
        <w:t>- 7/10 - P/13448/2022</w:t>
      </w:r>
    </w:p>
    <w:p>
      <w:r>
        <w:rPr>
          <w:b/>
        </w:rPr>
        <w:t>E. 2.3</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3.2.2 ; arrêt du Tribunal fédéral 1B_687/2021 du 11 janvier 2022 consid. 4.1).</w:t>
      </w:r>
    </w:p>
    <w:p>
      <w:r>
        <w:rPr>
          <w:b/>
        </w:rPr>
        <w:t>E. 2.4</w:t>
      </w:r>
    </w:p>
    <w:p>
      <w:r>
        <w:t>En l'espèce, D______ a été entendue en audition EVIG. C______ et le père de l'intéressée ont également été auditionnés au sujet des faits dénoncés par leur fille. Le risque de collusion, sous cet angle, s'est donc fortement amoindri. La psychologue de D______ sera quant à elle entendue très prochainement sur les confidences que sa patiente lui aurait faites, soit sur des confidences passées. Or, le premier juge ne retient pas, à juste titre, un risque de collusion vis-à-vis de cette thérapeute. Reste qu'on ne peut exclure que le recourant, de par ses liens et son ascendant sur sa belle-fille – âgée aujourd'hui de 14 ans –, n'en profite, si l'interdiction de contact avec elle était levée, pour l'influencer ou faire pression sur elle afin qu'elle modifie ses déclarations en sa faveur. Sa demande visant à la faire participer à la thérapie de couple qu'il avait entreprise auprès de la COUFAM, alors que la procédure pénale le concernant n'est pas terminée, placerait inévitablement la jeune fille dans un grand conflit de loyauté, compte tenu du but de ces séances. Telle manœuvre pourrait ainsi grandement altérer la manifestation de la vérité. Peu importe à cet égard que la thérapeute de la COUFAM ait avalisé la démarche. Il en résulte que le risque de collusion vis-à-vis de D______ reste entier et que l'interdiction de contact en vigueur doit être maintenue.</w:t>
      </w:r>
    </w:p>
    <w:p>
      <w:r>
        <w:rPr>
          <w:b/>
        </w:rPr>
        <w:t>E. 3</w:t>
      </w:r>
    </w:p>
    <w:p>
      <w:r>
        <w:t>Le recourant conteste la prolongation des autres mesures de substitution encore en vigueur – soit principalement la poursuite de son traitement psychothérapeutique – mais ne développe aucun argument à l'appui, de sorte qu'il ne sera pas entré en matière.</w:t>
      </w:r>
    </w:p>
    <w:p>
      <w:r>
        <w:rPr>
          <w:b/>
        </w:rPr>
        <w:t>E. 4</w:t>
      </w:r>
    </w:p>
    <w:p>
      <w:r>
        <w:t>Le recourant, qui succombe, supportera les frais envers l'État, qui comprendront un émolument de CHF 900.- (art. 428 al. 1 CPP; arrêts du Tribunal fédéral</w:t>
      </w:r>
    </w:p>
    <w:p>
      <w:r>
        <w:t>- 8/10 - P/13448/2022 1B_203/2011 du 18 mai 2011 consid. 4 et 1B_372/2014 du 8 avril 2015 consid. 4.6, qui rappellent que l'autorité de deuxième instance est tenue de dresser un état de frais pour la procédure de recours, sans égard à l'obtention de l'assistance judiciaire).</w:t>
      </w:r>
    </w:p>
    <w:p>
      <w:r>
        <w:rPr>
          <w:b/>
        </w:rPr>
        <w:t>E. 5</w:t>
      </w:r>
    </w:p>
    <w:p>
      <w:r>
        <w:t>Le recourant, qui plaide au bénéfice de l'assistance judiciaire, ne prend aucune conclusion "à ce stade" relative aux dépens.</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l'occurrence, le recours est le premier à être dirigé contre les mesures de substitution de sorte que l'on peut admettre qu'il ne procède pas d'un abus. L’indemnité du défenseur d’office sera fixée à la fin de la procédure (art. 135 al. 2 CPP). * * * * *</w:t>
      </w:r>
    </w:p>
    <w:p>
      <w:r>
        <w:t>- 9/10 - P/13448/2022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