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ACPR/751/2022 vom 22. September 2022</w:t>
      </w:r>
    </w:p>
    <w:p>
      <w:r>
        <w:t>GE Cour de justice, 2022-09-22, FR</w:t>
      </w:r>
    </w:p>
    <w:p>
      <w:r>
        <w:rPr>
          <w:b/>
        </w:rPr>
        <w:t xml:space="preserve">Quelle: </w:t>
      </w:r>
      <w:r>
        <w:t>https://mcp.opencaselaw.ch/entscheid/ge_gerichte_ACPR_751_2022</w:t>
      </w:r>
    </w:p>
    <w:p>
      <w:r>
        <w:t>FR: GE_GERICHTE ACPR/751/2022 du 22 septembre 2022</w:t>
      </w:r>
    </w:p>
    <w:p>
      <w:r>
        <w:t>IT: GE_GERICHTE ACPR/751/2022 del 22 settembre 2022</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5 al. 2 let. e et 40 al. 1 LaCP ; art. 11 al. 1 let. e Règlement sur l'exécution des peines et mesures du 19 mars 2014 [REPM ; RS E 4 55.05]), avoir été déposé dans la forme et le délai prescrits (art. 385 al. 1 et 396 al 1 CPP) et émaner du condamné visé par la décision déférée et qui a un intérêt juridiquement protégé à l'annulation de la décision entreprise (art. 382 al. 1 CPP).</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w:t>
      </w:r>
    </w:p>
    <w:p>
      <w:r>
        <w:t>- 8/12 - PS/74/2022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2.2</w:t>
      </w:r>
    </w:p>
    <w:p>
      <w:r>
        <w:t>En l'espèce, le recourant considère ne pas présenter de risques qualifiés de récidive et de fuite. Or, contrairement à ce qu'il allègue, l'acte hétéro-agressif reproché ne consiste pas uniquement en des coups donnés dans une porte. En effet, le recourant a, à tout le moins une fois le 16 août 2022, commis un acte violent, en tentant d'asséner des coups à un autre patient qui se trouvait à terre, en train d'être maitrisé par deux agents de sécurité. Le SMI a en effet confirmé que les coups, bien qu'ils aient atteint le dos desdits agents, visaient le patient. Après les faits, le recourant, transféré dans une autre unité de la clinique, a justifié son passage à l'acte comme une réaction légitime à son inconfort, menaçant de recourir à nouveau à la violence s'il devait être une nouvelle fois dérangé. Ce n'est que quelques jours plus tard que le recourant, placé provisoirement en milieu fermé au sein de la prison de B______, s'est engagé à respecter le cadre et a affirmé vouloir travailler sur son comportement et maintenir une abstinence au cannabis. Or, ses réflexions – a posteriori – sur l'inadéquation de son comportement n'effacent pas l'atteinte survenue, qui outrepasse de toute évidence une simple colère ou frustration, ce d'autant plus qu'il apparaît que ses remises en question n'étaient que superficielles, puisqu'elles avaient uniquement pour but de le faire réintégrer un milieu ouvert. Pour ce motif déjà, le risque de récidive est concret et avéré. Ce risque est par ailleurs renforcé par l'incident du 12 septembre 2022. En effet, selon le SMI, le recourant a proféré des menaces concrètes de mort à l'endroit du</w:t>
      </w:r>
    </w:p>
    <w:p>
      <w:r>
        <w:t>- 9/12 - PS/74/2022 même patient, s'il venait à le croiser à nouveau dans l'unité. À cela s'ajoute que le recourant aurait remis une pochette contenant des objets non autorisés à un autre patient quelques jours plus tard, soit lors son départ de l'unité pour la prison de B______, et ce alors que des objets interdits avaient déjà été retirés de sa chambre durant son précédent placement provisoire. Ces éléments tendent à confirmer un risque de récidive qualifié, auquel s'ajoutent encore les craintes soulevées par le personnel soignant de ne plus pouvoir assurer leur propre sécurité ni celle des autres patients. Enfin, il ressort de la nouvelle expertise psychiatrique qu'en milieu ouvert, le recourant présente un risque de récidive de commettre des infractions hétéro- agressives. Les experts ont ainsi considéré nécessaire l'exécution de la mesure thérapeutique en milieu fermé, le temps de la mise en place du traitement antipsychotique et de l'amélioration de l'état psychique du recourant. En conséquence, la deuxième hypothèse de l'art. 59 al. 3 1ère phrase CP – le risque de récidive – est réalisée. Dès lors, point n'est besoin d'examiner si le recourant présente aussi un risque de fuite. Enfin, il n'appartient pas à la Chambre de céans de déterminer le lieu de placement, le choix du lieu d'exécution constitue une modalité d'exécution de la mesure, qui relève de la seule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w:t>
      </w:r>
    </w:p>
    <w:p>
      <w:r>
        <w:rPr>
          <w:b/>
        </w:rPr>
        <w:t>E. 3</w:t>
      </w:r>
    </w:p>
    <w:p>
      <w:r>
        <w:t>Justifiée, la décision déférée sera donc confirmée. Le recours, se révélant manifestement mal fondé, pouvait être rejeté sans échange d'écritures ni débats (art. 390 al. 2 et 5 a contrario CPP).</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Le recourant demande la nomination d'office de Me C______.</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w:t>
      </w:r>
    </w:p>
    <w:p>
      <w:r>
        <w:t>- 10/12 - PS/74/2022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Pour fixer l'indemnisation due à l'avocat d'office, seules les heures nécessaires sont retenues; elles sont appréciées en fonction, notamment, de la nature, de l'importance, et des difficultés de la cause, de la valeur litigieuse, de la qualité du travail fourni et du résultat obtenu (art. 16 al. 2 RAJ). Le forfait de 20% ne s'applique pas en instance de recours (ACPR/911/2020 du 16 décembre 2020 consid. 5).</w:t>
      </w:r>
    </w:p>
    <w:p>
      <w:r>
        <w:rPr>
          <w:b/>
        </w:rPr>
        <w:t>E. 5.3</w:t>
      </w:r>
    </w:p>
    <w:p>
      <w:r>
        <w:t>Dans le cas présent, le recourant, exécutant une mesure institutionnelle, est très vraisemblablement indigent – même s'il n'apporte aucune preuve à ce sujet – et la difficulté de la cause, portant sur une question juridique relative au risque qualifié de réitération, justifiait l'assistance d'un avocat. L'état de frais produit par Me C______ détaille 5h30 d'activité comprenant un entretien avec le recourant, l'étude du dossier et la rédaction du recours, au tarif horaire de CHF 200.-/h. Cette durée apparait en adéquation avec le travail fourni. Sa rémunération sera, partant, arrêtée à CHF 1'184.70, TVA à 7.7% incluse. * * * * *</w:t>
      </w:r>
    </w:p>
    <w:p>
      <w:r>
        <w:t>- 11/12 - PS/74/2022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