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ACPR/74/2026 vom 29. Juni 2017</w:t>
      </w:r>
    </w:p>
    <w:p>
      <w:r>
        <w:t>GE Cour de justice, 2017-06-29, FR</w:t>
      </w:r>
    </w:p>
    <w:p>
      <w:r>
        <w:rPr>
          <w:b/>
        </w:rPr>
        <w:t xml:space="preserve">Quelle: </w:t>
      </w:r>
      <w:r>
        <w:t>https://mcp.opencaselaw.ch/entscheid/ge_gerichte_ACPR_74_2026</w:t>
      </w:r>
    </w:p>
    <w:p>
      <w:r>
        <w:t>FR: GE_GERICHTE ACPR/74/2026 du 29 juin 2017</w:t>
      </w:r>
    </w:p>
    <w:p>
      <w:r>
        <w:t>IT: GE_GERICHTE ACPR/74/2026 del 29 giugno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la non-entrée en matière prononcée à l'encontre de ses plaintes.</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w:t>
      </w:r>
    </w:p>
    <w:p>
      <w:r>
        <w:t>- 8/14 - P/25436/2024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6B_196/2020 précité). 2.2.1. 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2.2.2. 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arrêts du Tribunal fédéral 6B_844/2020 du 24 mars 2021 consid. 2.3.2; 6B_351/2020 du 25 novembre 2020 consid. 3.3.2;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arrêt du Tribunal fédéral 6B_1110/2021 du 11 janvier 2022 consid. 3.2). 2.2.3.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2.2.4. L'astuce n'est toutefois pas réalisée si la dupe pouvait se protéger avec un minimum d'attention ou éviter l'erreur avec le minimum de prudence que l'on pouvait</w:t>
      </w:r>
    </w:p>
    <w:p>
      <w:r>
        <w:t>- 9/14 - P/25436/2024 attendre d'elle. Il n'est cependant pas nécessaire qu'elle ait fait preuve de la plus grande diligence ou qu'elle ait recouru à toutes les mesures possibles pour éviter d'être trompée (ATF 147 IV 73 consid. 3.2).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2.3.1. L'art. 181 CP punit quiconque, en usant de violence envers une personne ou en la menaçant d'un dommage sérieux, ou en l'entravant de quelque autre manière dans sa liberté d'action, l'oblige à faire, à ne pas faire ou à laisser faire un acte. 2.3.2. Cette disposition protège la liberté d'action et de décision (ATF 141 IV 437 consid. 3.2.1).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(ATF 122 IV 322 consid. 1a; 117 IV 445 consid. 2b; arrêt du Tribunal fédéral 6B_458/2021 du 3 mars 2022 consid. 1.4.1). La loi exige un dommage sérieux, c'est-à-dire que la perspective de l'inconvénient présenté comme dépendant de la volonté de l'auteur soit propre à entraver le destinataire dans sa liberté de décision ou d'action (ATF 120 IV 17 consid. 2a/aa; arrêt du Tribunal fédéral 6B_1082_2021 du 18 mars 2022 consid. 2.1). La question doit être tranchée en fonction de critères objectifs, en se plaçant du point de vue d'une personne de sensibilité moyenne (ATF 122 IV 322 consid. 1a). 2.3.3.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arrêt du Tribunal fédéral 7B_426/2023 du 19 mars 2025 consid. 2.2.3).</w:t>
      </w:r>
    </w:p>
    <w:p>
      <w:r>
        <w:rPr>
          <w:b/>
        </w:rPr>
        <w:t>E. 2.4</w:t>
      </w:r>
    </w:p>
    <w:p>
      <w:r>
        <w:t>En l'espèce, dans ses plaintes du 16 novembre 2023, la recourante reproche au mis en cause les mêmes faits que ceux déjà dénoncés contre son ex-mari et qui font dorénavant l'objet de la procédure P/3______/2023. Selon elle, le mis en cause aurait prêté son concours aux agissements de son ex-époux, dont il est un "ami de longue date". Il faut néanmoins souligner que la participation du mis en cause aux faits en question découle avant tout de son activité de conseil juridique, au bénéfice de l'ex-époux de la recourante, qu'il représente à l'égard des tiers (art. 1 al. 2 de la loi sur la profession d’avocat du 26 avril 2002) et pour le compte duquel il agit dans le cadre des nombreuses procédures opposant les ex-époux.</w:t>
      </w:r>
    </w:p>
    <w:p>
      <w:r>
        <w:t>- 10/14 - P/25436/2024 Le mis en cause n'est, dans les faits dénoncés, que la voix de son mandant, dont il gère les intérêts (art. 394 al. 1 CO).</w:t>
      </w:r>
    </w:p>
    <w:p>
      <w:r>
        <w:rPr>
          <w:b/>
        </w:rPr>
        <w:t>E. 2.5</w:t>
      </w:r>
    </w:p>
    <w:p>
      <w:r>
        <w:t>Cela étant dit, la recourante reproche au mis en cause d'avoir cherché à induire la justice en erreur, en produisant une pièce tronquée et en sachant que son contenu n'était pas véridique. La décision sur opposition de l'OCE du 5 novembre 2021 a été produite par le mis en cause, au nom et pour le compte de son mandant, à l'appui de la requête en mesures provisionnelles du 17 novembre 2021. Celle-ci visait à modifier les contributions d'entretien fixées par le jugement du TPI du 29 juin 2017, à la suite de la perte d'emploi et de l'inscription au chômage alléguées de son client. Dans le bordereau de pièces comme dans l'écriture, la pièce en question est nommée avec la mention "caviardée", aspect de toute manière évident à la lecture du document. L'absence de pagination n'empêchait pas l'autorité de comprendre que des pans entiers de texte manquaient, en particulier l'historique ayant mené à la décision sur opposition de l'OCE. En outre, la recourante a contesté la réalité de cette inscription au chômage par-devant le TPI, lequel était tenu de statuer sous l'angle de la vraisemblance (cf. art. 271 let. a cum art. 276 al. 1 CPC). Finalement, le TPI a retenu l'inscription au chômage de l'époux et modifié en conséquence à la baisse les contributions d'entretien. La Chambre civile a ensuite contesté ce raisonnement, retenant que le client du mis en cause (et non celui-ci) avait occulté des éléments déterminants sur sa situation financière, et annulé le jugement de l'autorité précédente sur ce point. En résumé, le TPI n'ignorait pas que la pièce était tronquée et pouvait, sur la base des contestations de la recourante, nourrir des soupçons sur son contenu "caviardé". Cela étant, la juridiction a choisi de ne pas éclaircir ce point. On ne saurait ainsi retenir qu'elle a été trompée. Compte tenu de ce qui précède, les éléments constitutifs de l'infraction d'escroquerie ne sont pas réunis.</w:t>
      </w:r>
    </w:p>
    <w:p>
      <w:r>
        <w:rPr>
          <w:b/>
        </w:rPr>
        <w:t>E. 2.6</w:t>
      </w:r>
    </w:p>
    <w:p>
      <w:r>
        <w:t>Pour la recourante, le courriel du mis en cause du 12 juillet 2021 constitue une tentative de contrainte, pour l'obliger à signer les documents liés à la libération du 2ème pilier de son ex-époux, dans un montage financier contraire à la LPP et susceptible de lui porter préjudice dans le cadre du partage des avoirs de prévoyance professionnelle. Les échanges épistolaires entre les avocats des ex-époux permettent de comprendre que la proposition émise par le mis en cause était réellement considérée comme une solution en vue du paiement des contributions d'entretien, au point que les démarches ont été entamées auprès des caisses de pension et que cette option a été évoquée devant les juridictions civiles et auprès du BRAPA. Par ailleurs, indépendamment du</w:t>
      </w:r>
    </w:p>
    <w:p>
      <w:r>
        <w:t>- 11/14 - P/25436/2024 caractère légal de l'opération, il est vrai que celle-ci nécessitait l'accord de la recourante. En outre, il n'a jamais été question de subordonner expressément le versement des contributions d'entretien à la signature, par la recourante, des documents en question. Dans son courriel litigieux, le mis en cause laisse entendre qu'un refus de la recourante signifierait qu'elle n'avait pas réellement besoin des pensions versées par son client pour subvenir à ses besoins. Le message sous-jacent à ces propos implique certes des éventuelles conséquences juridiques sur les contributions d'entretien dues; cela étant, il est question d'échanges entre avocats dans le cadre d'un divorce particulièrement conflictuel, contexte agrémenté d'intimidations et de tractations. Quoiqu'il en soit, la recourante, dûment conseillée, pouvait et devait savoir que la loi et le jugement du TPI du 29 juin 2017 lui garantissaient une protection contre la cessation, sans conséquence, de tout versement des contributions dues par son ex-époux. En cela, le message litigieux ne peut être compris comme une véritable menace susceptible de restreindre la recourante dans sa liberté d'actions ou de décision. À ce propos, elle n'a pas immédiatement rejeté la proposition du mis en cause, son conseil ayant, par courriel du 21 juillet 2021, relancé son confrère à propos d'une "solution réaliste". Elle a finalement refusé de signer les documents en novembre 2021, soit quatre mois plus tard. Là encore, les éléments constitutifs de l'infraction de tentative de contrainte ne sont donc pas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La recourante, qui succombe, supportera les frais envers l'État, fixés en intégralité à CHF 800.- (art. 428 al. 1 CPP et 13 al. 1 du Règlement fixant le tarif des frais en matière pénale, RTFMP; E 4 10.03), pour tenir compte de sa situation financière. Le refus d'octroi de l'assistance juridique gratuite est, quant à lui, rendu sans frais (art. 20 RAJ). * * * * *</w:t>
      </w:r>
    </w:p>
    <w:p>
      <w:r>
        <w:t>- 13/14 - P/25436/2024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