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ACPR/747/2023 vom 20. Juni 2023</w:t>
      </w:r>
    </w:p>
    <w:p>
      <w:r>
        <w:t>GE Cour de justice, 2023-06-20, FR</w:t>
      </w:r>
    </w:p>
    <w:p>
      <w:r>
        <w:rPr>
          <w:b/>
        </w:rPr>
        <w:t xml:space="preserve">Quelle: </w:t>
      </w:r>
      <w:r>
        <w:t>https://mcp.opencaselaw.ch/entscheid/ge_gerichte_ACPR_747_2023</w:t>
      </w:r>
    </w:p>
    <w:p>
      <w:r>
        <w:t>FR: GE_GERICHTE ACPR/747/2023 du 20 juin 2023</w:t>
      </w:r>
    </w:p>
    <w:p>
      <w:r>
        <w:t>IT: GE_GERICHTE ACPR/747/2023 del 20 giugno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- 7/13 - P/8009/2023 Cette disposition doit être appliquée conformément à l'adage "in dubio pro duriore". Celui-ci découle du principe de la légalité (art. 5 al. 1 Cst. et art. 2 al. 2 CPP en relation avec les art. 319 al. 1 et 324 al. 1 CPP) et signifie qu'en principe une non- 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w:t>
      </w:r>
    </w:p>
    <w:p>
      <w:r>
        <w:rPr>
          <w:b/>
        </w:rPr>
        <w:t>E. 4.2</w:t>
      </w:r>
    </w:p>
    <w:p>
      <w:r>
        <w:t>Se rend coupable d'abus de confiance quiconque, sans droit, emploie à son profit ou au profit d’un tiers des valeurs patrimoniales qui lui ont été confiées (art. 138 ch. 1 al. 2 CP).</w:t>
      </w:r>
    </w:p>
    <w:p>
      <w:r>
        <w:rPr>
          <w:b/>
        </w:rPr>
        <w:t>E. 4.3</w:t>
      </w:r>
    </w:p>
    <w:p>
      <w:r>
        <w:t>Les valeurs patrimoniales remises dans le cadre d’un contrat de prêt peuvent, à certaines conditions, être qualifiées de valeurs patrimoniales confiées. Tel peut notamment être le cas lorsque le contrat de prêt contient une obligation, à charge de l’emprunteur, de conserver la contre-valeur de ce qu’il a reçu, soit une obligation de rembourser en tout temps ("Werterhaltungspflicht"). Il est toutefois nécessaire que l’affectation des valeurs patrimoniales soit définie avec clarté et serve à couvrir les risques du prêteur ou, du moins, à diminuer son risque de perte. L'affectation convenue doit donc représenter en elle-même une forme de garantie. L'utilisation de l'argent prêté contrairement à sa destination convenue peut dès lors être constitutive d'abus de confiance lorsqu'elle remet en cause cet objectif et s'avère propre à causer un dommage (ATF 129 IV 257 consid. 2.2.2 et 2.3; M. DUPUIS / L. MOREILLON / C. PIGUET / S. BERGER / M. MAZOU / V. RODIGARI (éds), Code pénal - Petit commentaire, 2e éd., Bâle 2017, n.35 ad art. 138). Ainsi, le Tribunal fédéral a considéré que lorsqu’un prêt est accordé dans un but précis, soit en l’espèce, dans le but d’acquérir un immeuble déterminé, avec un remboursement prévu lors de sa revente, l’emprunteur est tenu contractuellement de consacrer l’argent prêté à l’achat de l’immeuble et de le conserver jusqu’à cet achat. Le prêteur peut en effet partir du principe qu’il sera remboursé si l’emprunteur respecte l’affectation des fonds telle que prévue par le contrat. Dans ces conditions, l’emprunteur qui utilise les fonds pour ses besoins personnels commet un abus de confiance (ATF 120 IV 117 consid. 2f JdT 1996 IV 35). En revanche, lorsque la destination du prêt n’a pas été précisée, l’emprunteur peut utiliser les fonds comme bon lui semble. Il n’a pas l’obligation de conserver en tout temps la contre-valeur de ce qu’il a reçu. En effet, dans le cadre d’un prêt, le principe est que l’emprunteur doit uniquement rembourser la somme prêtée selon les termes contractuels ou, à défaut de</w:t>
      </w:r>
    </w:p>
    <w:p>
      <w:r>
        <w:t>- 8/13 - P/8009/2023 mention expresse, dans les délais légaux. Il ne peut donc y avoir d’abus de confiance dans ces circonstances (ATF 120 IV 117 précité). Ainsi, le Tribunal fédéral n’a pas retenu l’abus de confiance s’agissant de l’utilisation à des fins personnelles par l’administrateur d’une société d’un prêt commercial à court terme destiné au financement de l’activité courante de l’entreprise (arrêt du Tribunal fédéral 6B_1043/2013 du 4 juillet 2014 consid. 4; A. MACALUSO / L. MOREILLON / N. QUELOZ (éds), Commentaire romand, Code pénal II, vol. II, Partie spéciale : art. 111-392 CP, Bâle 2017, n. 39 ad art. 138). Le Tribunal fédéral a en revanche reconnu qu’il y avait abus de confiance en lien avec un contrat de prêt notamment lorsque dans le cadre d’un crédit de construction, les sommes prêtées par la banque, qui devaient être exclusivement affectées à l’acquisition d’un terrain et à la construction d’un bâtiment, sont remises par l’emprunteur à des sociétés de son groupe ou utilisées pour éteindre des dettes personnelles. En effet, dans la mesure où l’emprunteur s’était engagé envers la banque à investir les fonds dans le bâtiment, l’utilisation du crédit pour la construction constituait une garantie pour la banque (ATF 124 IV 9 consid. 1a) ; la somme prêtée, destinée au financement de travaux de construction dont la plus-value garantissait au prêteur la couverture de son risque à l’investissement, avait en réalité été affectée au règlement de diverses factures de l’emprunteur (arrêt du Tribunal fédéral 6B_827/2008 du 7 janvier 2009 consid. 1.4; A. MACALUSO / L. MOREILLON / N. QUELOZ (éds), op cit., n. 40 ad art. 138).</w:t>
      </w:r>
    </w:p>
    <w:p>
      <w:r>
        <w:rPr>
          <w:b/>
        </w:rPr>
        <w:t>E. 4.4</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4.4.1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w:t>
      </w:r>
    </w:p>
    <w:p>
      <w:r>
        <w:t>- 9/13 - P/8009/2023</w:t>
      </w:r>
    </w:p>
    <w:p>
      <w:r>
        <w:rPr>
          <w:b/>
        </w:rPr>
        <w:t>E. 4.4.2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w:t>
      </w:r>
    </w:p>
    <w:p>
      <w:r>
        <w:rPr>
          <w:b/>
        </w:rPr>
        <w:t>E. 4.5</w:t>
      </w:r>
    </w:p>
    <w:p>
      <w:r>
        <w:t>L'art. 158 CP punit quiconque, en vertu de la loi, d'un mandat officiel ou d'un acte juridique, est tenu de gérer les intérêts pécuniaires d'autrui ou de veiller sur leur gestion et qui, en violation de ses devoirs, porte atteinte à ces intérêts ou permet qu'ils soient lésés (ch. 1 al. 1). Revêt la qualité de gérant celui à qui il incombe, de fait ou formellement, la responsabilité d'administrer un complexe patrimonial non négligeable dans l'intérêt d'autrui (ATF 142 IV 346 consid. 3.2; 129 IV 124 consid. 3.1).</w:t>
      </w:r>
    </w:p>
    <w:p>
      <w:r>
        <w:rPr>
          <w:b/>
        </w:rPr>
        <w:t>E. 4.6</w:t>
      </w:r>
    </w:p>
    <w:p>
      <w:r>
        <w:t>En l'espèce, il ressort des éléments au dossier que le recourant a prêté de l'argent à la mise en cause sur la base d'un "contrat de prêt participatif" afin de financer une partie d'un projet immobilier. Le versement est intervenu peu après l'acquisition des parcelles devant accueillir le complexe prévu, soit au début dudit projet. S'agissant de l'infraction d'abus de confiance, le prêt devait être investi dans le cadre du projet immobilier "H______", sans autre précision. Or, les différents documents produits attestent d'une activité réelle de la mise en cause dans le cadre dudit projet, pour un montant bien supérieur à celui prêté. Ainsi, en l'absence de l'obligation d'en conserver la contre-valeur, peu importe si une partie des fonds litigieux a été virée sur le compte d'autres sociétés du groupe auquel appartenait la mise en cause.</w:t>
      </w:r>
    </w:p>
    <w:p>
      <w:r>
        <w:t>- 10/13 - P/8009/2023 D'ailleurs, un tel transfert ne signifie pas pour autant que les fonds n'ont pas été utilisés aux fins prévues, d'autres sociétés du groupe auquel appartenait la mise en cause étant également en charge du projet. Par ailleurs, au vu de la jurisprudence, il apparaît douteux que l'on puisse considérer qu'un contrat de prêt – qui prévoit qu'en cas de faillite, la créance soit postposée au désintéressement de l'ensemble des créanciers – soit propre à couvrir les risques du prêteur ou, même, à diminuer son risque de perte, bien au contraire. On ne peut donc valablement retenir que le prêt litigieux représenterait des valeurs patrimoniales confiées. Au surplus, il est rappelé qu'en acceptant la subordination de sa créance au désintéressement de l'ensemble des créanciers, en cas de faillite, le recourant avait accepté la perte de celle-là. C'est d'ailleurs ce qui s'est produit, les dettes de la mise en cause – qui s'élevaient, selon l'état de collocation, à CHF 5'413'735.-, auxquelles s'ajoutait la créance du recourant; et, selon le calcul du recourant, à CHF 28'278'126.28 –, étaient bien supérieures au montant du prêt. Partant, l'infraction d'abus de confiance n'est pas réalisée. Compte tenu de ce qui précède et que le projet, au moment du prêt, était considéré comme réalisable, on ne voit pas sur quel élément le recourant aurait été trompé et, qui plus est, de manière astucieuse. Le fait que la mise en cause, après sa création, ait rapidement été en situation de surendettement ne modifie pas ce constat. En effet, comme l'a, à juste titre, relevé le Ministère public, vu son capital social relativement faible par rapport aux investissements prévus et le fait que la mise en cause ne déployait aucune activité rémunératrice et ne dépendait que des financements des actionnaires et investisseurs, cela apparaissait prévisible sinon inévitable. Ainsi, dans le cas présent, cette situation ne semble pas être un élément pénalement pertinent. En outre, on ne voit pas de quel procédé astucieux aurait été victime le recourant. Le fait d'avoir été amené sur les lieux du projet immobilier atteste plutôt de la réalité de celui-ci, les parcelles en question ayant été acquises par la mise en cause précisément dans ce but. Quant aux paroles rassurantes du mis en cause, qui plus est en l'absence d'indication temporelle sur leur énonciation, elles n'apparaissent pas probantes, en tout cas pas au point de dissuader le recourant de prendre de plus amples renseignements. Enfin, pour que la tromperie soit astucieuse, faut-il encore que la personne dupée ait fait preuve du minimum d'attention que l'on pouvait attendre d'elle. Le rapport de</w:t>
      </w:r>
    </w:p>
    <w:p>
      <w:r>
        <w:t>- 11/13 - P/8009/2023 confiance le liant au mis en cause ou même son absence de connaissance dans le domaine immobilier, ne le dispensait pas, bien au contraire, de se renseigner ne serait-ce que sur la situation financière de la mise en cause, voire sur le projet envisagé, compte tenu du montant du prêt envisagé et de la clause de postposition de sa créance. En conséquence, les éléments constitutifs de l'infraction d'escroquerie ne sont pas non plus remplis. Enfin, on ne voit pas, au vu du contrat signé et en l'absence d'autre élément dans ce sens, que les mis en cause auraient eu la qualité de gérant en ce qui concerne le prêt litigieux, ce que le recourant n'allègue pas au demeurant. Ainsi, l'infraction de gestion déloyale n'est pas non plus réalisée. Au vu de ce qui précède, les actes d'enquête sollicités ne sont pas propres à modifier l'issue de la cause.</w:t>
      </w:r>
    </w:p>
    <w:p>
      <w:r>
        <w:rPr>
          <w:b/>
        </w:rPr>
        <w:t>E. 5</w:t>
      </w:r>
    </w:p>
    <w:p>
      <w:r>
        <w:t>Justifiée, l'ordonnance querellée sera donc confirmée et le recours rejeté.</w:t>
      </w:r>
    </w:p>
    <w:p>
      <w:r>
        <w:rPr>
          <w:b/>
        </w:rPr>
        <w:t>E. 6</w:t>
      </w:r>
    </w:p>
    <w:p>
      <w:r>
        <w:t>Le recourant, qui succombe, supportera les frais envers l'État, fixés en totalité à CHF 3'000.- (art. 428 al. 1 CPP et 13 al. 1 du Règlement fixant le tarif des frais en matière pénale, RTFMP ; E 4 10.03). * * * * *</w:t>
      </w:r>
    </w:p>
    <w:p>
      <w:r>
        <w:t>- 12/13 - P/8009/2023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