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ACPR/745/2020 vom 22. Juli 2020</w:t>
      </w:r>
    </w:p>
    <w:p>
      <w:r>
        <w:t>GE Cour de justice, 2020-07-22, FR</w:t>
      </w:r>
    </w:p>
    <w:p>
      <w:r>
        <w:rPr>
          <w:b/>
        </w:rPr>
        <w:t xml:space="preserve">Quelle: </w:t>
      </w:r>
      <w:r>
        <w:t>https://mcp.opencaselaw.ch/entscheid/ge_gerichte_ACPR_745_2020</w:t>
      </w:r>
    </w:p>
    <w:p>
      <w:r>
        <w:t>FR: GE_GERICHTE ACPR/745/2020 du 22 juillet 2020</w:t>
      </w:r>
    </w:p>
    <w:p>
      <w:r>
        <w:t>IT: GE_GERICHTE ACPR/745/2020 del 22 luglio 2020</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contienne pas de conclusions formelles (art. 385 al.1 CPP), on comprend que le recourant - qui agit en personne - souhaite l'annulation de l'ordonnance querellée et l'ouverture d'une instruction. Partant, le recours est recevable.</w:t>
      </w:r>
    </w:p>
    <w:p>
      <w:r>
        <w:rPr>
          <w:b/>
        </w:rPr>
        <w:t>E. 2</w:t>
      </w:r>
    </w:p>
    <w:p>
      <w:r>
        <w:t>Le recourant reproche au Ministère public de ne pas être entrer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À teneur de l'art. 310 al. 1 let. c CPP, une ordonnance de non-entrée en matière est en outre rendue lorsque les conditions mentionnées à l'art. 8 CPP imposent de renoncer à l'ouverture d'une poursuite pénale. Tel est notamment le cas si la culpabilité de l'auteur et les conséquences de son acte sont peu importantes (art. 52 CP). Lorsque ces deux conditions - cumulatives - sont réunies, l'autorité compétente renonce à lui infliger une peine et l'exemption par le juge est de nature impérative (ATF 135 IV 130 consid. 5.3.2).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5.4).</w:t>
      </w:r>
    </w:p>
    <w:p>
      <w:r>
        <w:t>- 4/6 - P/13056/2020</w:t>
      </w:r>
    </w:p>
    <w:p>
      <w:r>
        <w:rPr>
          <w:b/>
        </w:rPr>
        <w:t>E. 3.1</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w:t>
      </w:r>
    </w:p>
    <w:p>
      <w:r>
        <w:rPr>
          <w:b/>
        </w:rPr>
        <w:t>E. 3.2</w:t>
      </w:r>
    </w:p>
    <w:p>
      <w:r>
        <w:t>En l'espèce, le recourant accuse le mis en cause de s'être adressé à lui en des termes injurieux, soit "fils d'esclave", pour lesquels il s'était excusé, et "fils de pute", sans excuse cette fois-là. Les circonstances dans lesquelles auraient été tenus les propos prêtés au mis en cause sont néanmoins déterminantes. Ce dernier est, en effet, détenu au sein de l'établissement B______ et, selon toute vraisemblance, souffre d'un trouble mental. En outre, le recourant n'a pas fait valoir concrètement que ces insultes auraient porté à conséquence. Dans ces circonstances particulières, l'éventuelle culpabilité du mis en cause peut et doit être relativisée. Il en découle que les conséquences de l'infraction, tout comme la faute hypothétique du mis en cause, sont réduites, même à supposer que les éléments constitutifs d'une infraction d'injure fussent réunis. Ainsi, l'application de l'art. 52 CP, par le truchement de l'art. 8 CPP, se justifie. La non-entrée en matière était donc fondée s'agissant de l'infraction d'injure alléguée.</w:t>
      </w:r>
    </w:p>
    <w:p>
      <w:r>
        <w:rPr>
          <w:b/>
        </w:rPr>
        <w:t>E. 4</w:t>
      </w:r>
    </w:p>
    <w:p>
      <w:r>
        <w:t>Justifiée, l'ordonnance querellée sera donc confirmée.</w:t>
      </w:r>
    </w:p>
    <w:p>
      <w:r>
        <w:rPr>
          <w:b/>
        </w:rPr>
        <w:t>E. 5</w:t>
      </w:r>
    </w:p>
    <w:p>
      <w:r>
        <w:t>Le recourant, qui succombe, supportera les frais envers l'État, qui seront fixés en totalité à CHF 500.- (art. 428 al. 1 CPP et 13 al. 1 du Règlement fixant le tarif des frais en matière pénale, RTFMP ; E 4 10.03). * * * * *</w:t>
      </w:r>
    </w:p>
    <w:p>
      <w:r>
        <w:t>- 5/6 - P/13056/2020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