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ACPR/744/2024 vom 23. September 2024</w:t>
      </w:r>
    </w:p>
    <w:p>
      <w:r>
        <w:t>GE Cour de justice, 2024-09-23, FR</w:t>
      </w:r>
    </w:p>
    <w:p>
      <w:r>
        <w:rPr>
          <w:b/>
        </w:rPr>
        <w:t xml:space="preserve">Quelle: </w:t>
      </w:r>
      <w:r>
        <w:t>https://mcp.opencaselaw.ch/entscheid/ge_gerichte_ACPR_744_2024</w:t>
      </w:r>
    </w:p>
    <w:p>
      <w:r>
        <w:t>FR: GE_GERICHTE ACPR/744/2024 du 23 septembre 2024</w:t>
      </w:r>
    </w:p>
    <w:p>
      <w:r>
        <w:t>IT: GE_GERICHTE ACPR/744/2024 del 23 settembre 2024</w:t>
      </w:r>
    </w:p>
    <w:p>
      <w:pPr>
        <w:pStyle w:val="Heading2"/>
      </w:pPr>
      <w:r>
        <w:t>Erwägungen</w:t>
      </w:r>
    </w:p>
    <w:p>
      <w:r>
        <w:rPr>
          <w:b/>
        </w:rPr>
        <w:t>E. 1</w:t>
      </w:r>
    </w:p>
    <w:p>
      <w:r>
        <w:t>1.1. 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Le recours au sens de l'art. 393 CPP est la voie de droit ouverte contre les prononcés rendus par le TAPEM en matière de libération conditionnelle (art. 42 al. 1 let. b LaCP cum ATF 141 IV 187 consid. 1.1 et les références citées).</w:t>
      </w:r>
    </w:p>
    <w:p>
      <w:r>
        <w:rPr>
          <w:b/>
        </w:rPr>
        <w:t>E. 1.3</w:t>
      </w:r>
    </w:p>
    <w:p>
      <w:r>
        <w:t>La procédure devant la Chambre de céans est régie par le CPP, applicable au titre de droit cantonal supplétif (art. 42 al. 2 LaCP).</w:t>
      </w:r>
    </w:p>
    <w:p>
      <w:r>
        <w:rPr>
          <w:b/>
        </w:rPr>
        <w:t>E. 1.4</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 On comprend de sa lettre datée du 26 septembre 2024 que le recourant n'est pas d'accord avec le refus de sa libération conditionnelle par le TAPEM, ce qui constitue une motivation suffisante, s'agissant d'un justiciable en personne.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d'une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w:t>
      </w:r>
    </w:p>
    <w:p>
      <w:r>
        <w:t>- 6/9 - PM/962/2024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w:t>
      </w:r>
    </w:p>
    <w:p>
      <w:r>
        <w:rPr>
          <w:b/>
        </w:rPr>
        <w:t>E. 3.2</w:t>
      </w:r>
    </w:p>
    <w:p>
      <w:r>
        <w:t>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3.3</w:t>
      </w:r>
    </w:p>
    <w:p>
      <w:r>
        <w:t>En l'espèce, la condition objective d'une libération conditionnelle est réalisée depuis le 7 octobre. Si le préavis de la prison est favorable, ceux du SAPEM et du Ministère public ne le sont pas. Le recourant ne saurait être suivi lorsqu'il indique se trouver en prison du seul fait de ses "problèmes de papier". Il ressort en effet de l'extrait de son casier judiciaire qu'il a été condamné tant pour des délits à la loi sur les étrangers et l'intégration que pour des infractions contre le patrimoine. Certes, le recourant n'a encore jamais été mis au bénéfice d'une libération conditionnelle. Il n'en demeure pas moins qu'il a été condamné à huit reprises, ce en l'espace de moins d'un an, sans qu'aucune de ses condamnations ne l'incite à cesser ses agissements répréhensibles. A l'instar du TAPEM, il y a lieu de relever que son projet pour l'avenir est flou et contradictoire, le recourant ayant indiqué dans le formulaire qu'il avait rempli en vue de sa libération conditionnelle, de manière antinomique, tantôt qu'il comptait se</w:t>
      </w:r>
    </w:p>
    <w:p>
      <w:r>
        <w:t>- 7/9 - PM/962/2024 rendre en Allemagne, tantôt qu'il souhaitait aller s'installer chez son oncle à D______. Force est d'admettre que le recourant ne propose en réalité aucun projet de vie apte à renverser le pronostic défavorable, lequel est renforcé par sa situation personnelle, financière et administrative précaire. Dans cette configuration, le fait que le recourant dise vouloir saisir sa chance et quitter le territoire suisse sous vingt-quatre heures en cas de libération n'y change rien et n'est pas suffisant. Les conditions d'une mise en liberté conditionnelle ne sont ainsi, en l'état, pas réalisées. Justifiée, l'ordonnance querellée sera donc confirmée.</w:t>
      </w:r>
    </w:p>
    <w:p>
      <w:r>
        <w:rPr>
          <w:b/>
        </w:rPr>
        <w:t>E. 4</w:t>
      </w:r>
    </w:p>
    <w:p>
      <w:r>
        <w:t>Le recourant, qui succombe, supportera les frais envers l'État, fixés en totalité à CHF 900.- (art. 428 al. 1 CPP et 13 al. 1 du Règlement fixant le tarif des frais en matière pénale, RTFMP ; E 4 10.03). * * * * *</w:t>
      </w:r>
    </w:p>
    <w:p>
      <w:r>
        <w:t>- 8/9 - PM/962/2024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