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ACPR/744/2022 vom 11. Mai 2022</w:t>
      </w:r>
    </w:p>
    <w:p>
      <w:r>
        <w:t>GE Cour de justice, 2022-05-11, FR</w:t>
      </w:r>
    </w:p>
    <w:p>
      <w:r>
        <w:rPr>
          <w:b/>
        </w:rPr>
        <w:t xml:space="preserve">Quelle: </w:t>
      </w:r>
      <w:r>
        <w:t>https://mcp.opencaselaw.ch/entscheid/ge_gerichte_ACPR_744_2022</w:t>
      </w:r>
    </w:p>
    <w:p>
      <w:r>
        <w:t>FR: GE_GERICHTE ACPR/744/2022 du 11 mai 2022</w:t>
      </w:r>
    </w:p>
    <w:p>
      <w:r>
        <w:t>IT: GE_GERICHTE ACPR/744/2022 del 11 maggio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En tant que le recourant critique l'infraction de voies de fait (art. 126 CP) retenue dans l'ordonnance pénale pour la clé articulaire, et demande qu'elle soit qualifiée en lésions corporelles simples ou graves, cette conclusion est irrecevable, devant être examinée dans le cadre de l'opposition formée à dite ordonnance.</w:t>
      </w:r>
    </w:p>
    <w:p>
      <w:r>
        <w:rPr>
          <w:b/>
        </w:rPr>
        <w:t>E. 1.3</w:t>
      </w:r>
    </w:p>
    <w:p>
      <w:r>
        <w:t>Par ailleurs, le recourant ne remet pas en cause l'ordonnance de non-entrée en matière querellée en tant qu'elle concerne l'infraction d'injures (art. 177 CP) et de menaces (art. 180 CP), de même que les blessures autres qu'à l'épaule et au poignet (soit à la cheville et à la fesse). Ces points n'apparaissant plus litigieux, ils ne seront pas examinés plus avant dans le présent arrêt (art. 385 al. 1 let. a CPP).</w:t>
      </w:r>
    </w:p>
    <w:p>
      <w:r>
        <w:rPr>
          <w:b/>
        </w:rPr>
        <w:t>E. 2</w:t>
      </w:r>
    </w:p>
    <w:p>
      <w:r>
        <w:t>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w:t>
      </w:r>
    </w:p>
    <w:p>
      <w:r>
        <w:rPr>
          <w:b/>
        </w:rPr>
        <w:t>E. 2.2</w:t>
      </w:r>
    </w:p>
    <w:p>
      <w:r>
        <w:t>Une non-entrée en matière partielle est par exemple rendue si les conditions d'une infraction ne sont réunies que pour l'un des participants à l'infraction ou pour une seule ou une partie des infractions qui lui est reprochées (L. MOREILLON / A. PAREIN-REYMOND, Code de procédure pénale, Petit commentaire, 2ème éd., Bâle 2016, n. 4 ad art. 319 CPP). Un classement partiel ou une non-entrée en matière partielle sont envisageables lorsque la décision porte sur plusieurs événements ou faits au sens procédural du terme qui se prêtent à un traitement distinct. En revanche, ils sont exclus s'il s'agit uniquement d'une autre appréciation juridique du même événement (ATF 144 IV 632 consid. 1.3.1).</w:t>
      </w:r>
    </w:p>
    <w:p>
      <w:r>
        <w:rPr>
          <w:b/>
        </w:rPr>
        <w:t>E. 2.3</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par l'art. 181 CP est la liberté d'action et de décision, plus particulièrement la libre formation et le libre exercice de la volonté (ATF 141 IV 437 consid. 3.2.1). La violence consiste dans l'emploi d'une force physique d'une certaine intensité à l'encontre de la victime (ATF 101 IV 42 consid. 3a). Le degré de violence exigé ne s’apprécie pas d’après des critères absolus, mais relatifs. Ainsi, l’intensité de la force physique exercée peut ne pas avoir d’effet sur un homme expérimenté et vigoureux,</w:t>
      </w:r>
    </w:p>
    <w:p>
      <w:r>
        <w:t>- 7/10 - P/13939/2021 alors qu’elle suffirait à faire plier une victime plus faible (A. MACALUSO / L. MOREILLON / N. QUELOZ, Commentaire romand du Code pénal II, 2e éd., Bâle 2017, n. 13 ad art. 181 et référence citée).</w:t>
      </w:r>
    </w:p>
    <w:p>
      <w:r>
        <w:rPr>
          <w:b/>
        </w:rPr>
        <w:t>E. 2.4</w:t>
      </w:r>
    </w:p>
    <w:p>
      <w:r>
        <w:t>Aux termes de l'art. 123 al. 1 CP, est punissable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2.5</w:t>
      </w:r>
    </w:p>
    <w:p>
      <w:r>
        <w:t>En l'espèce, le recourant soutient qu'en pratiquant sur lui, avec violence, une clé articulaire, le mis en cause avait cherché à l'entraver dans sa liberté d'action. On peut douter de la réalisation d'une infraction de contrainte dans un contexte professionnel dans lequel le recourant avait l'obligation de restituer le fruit de sa tournée. Quoi qu'il en soit, à l'instar de ce qu'a retenu le Ministère public, l'intensité de la violence exercée par le mis en cause n'était pas suffisante pour constituer un moyen de contrainte. En effet, le recourant, âgé de 23 ans, pouvait lui-même, par la force physique, se dégager de l'étreinte du mis en cause, qui, sans présenter une physionomie particulièrement impressionnante, était âgé de 68 ans au moment des faits. Par conséquent, la non-entrée en matière ne prête pas le flanc à la critique s'agissant de l'infraction de contrainte (art. 181 CP).</w:t>
      </w:r>
    </w:p>
    <w:p>
      <w:r>
        <w:rPr>
          <w:b/>
        </w:rPr>
        <w:t>E. 2.6</w:t>
      </w:r>
    </w:p>
    <w:p>
      <w:r>
        <w:t>Le recourant critique ensuite l'ordonnance querellée en tant qu'elle prononce la non-entrée en matière de lésions corporelles simples (art. 123 CP), alors qu'il estime avoir subi une importante blessure à l'épaule par suite de l'empoignade de son employeur. Il est établi que le mis en cause a saisi et tordu le bras du recourant et qu'ensuite ce dernier est tombé. Selon le constat médical de lésions traumatiques établi le jour des faits, le recourant présentait notamment une douleur à l'ensemble du moignon de l'épaule gauche et une impotence fonctionnelle modérée nécessitant une immobilisation par attelle. La blessure a entraîné une incapacité de travail de longue durée et une intervention chirurgicale. Cette blessure dépasse ainsi la qualification de voies de fait. À bien comprendre les ordonnances – pénale et de non-entrée en matière – rendues par le Ministère public à la suite de la plainte déposée par le recourant, le Procureur</w:t>
      </w:r>
    </w:p>
    <w:p>
      <w:r>
        <w:t>- 8/10 - P/13939/2021 considère que le fait, pour le mis en cause, d'avoir saisi et tordu le bras du recourant est constitutif de voies de fait, punissables, tandis que la luxation de l'épaule aurait été provoquée par la chute volontaire du recourant, de sorte qu'elle ne devrait pas être poursuivie. Bien que les versions des témoins et du mis en cause diffèrent de celle du recourant sur les raisons de la chute, aucune de ces versions ne permet, en l'état, de retenir que la blessure à l'épaule présentée par le recourant après les événements serait consécutive à sa chute – volontaire ou non – plutôt qu'à la clé de bras. Il n'apparaît en outre, en l'état, pas clairement que le recourant se serait volontairement jeté au sol. En effet, il convient, d'une part, de considérer avec prudence les témoignages émanant d'employés du mis en cause ; et il semble, d'autre part, ressortir de l'enregistrement figurant au dossier, que lorsque le recourant est tombé, le mis en cause avait toujours prise sur son bras. Il n'est ainsi pas exclu, en l'état, que la clé articulaire ait pu provoquer la chute du recourant, comme le soutient ce dernier. On ne peut ainsi pas clairement affirmer de l'enchaînement des faits du 29 avril 2021 que la luxation de l'épaule présentée par le recourant n'aurait pas été provoquée par le comportement du mis en cause. Partant, les conditions d'une non-entrée en matière ne sont pas réunies et le recours est fondé sur ce point. La cause devra être retournée au Ministère public afin qu'il examine, simultanément à l'opposition formée à l'ordonnance pénale, l'ensemble des faits, soit tant la torsion du bras que la chute, afin de déterminer si la blessure présentée par le recourant est la conséquence, ou non, des actes du mis en cause.</w:t>
      </w:r>
    </w:p>
    <w:p>
      <w:r>
        <w:rPr>
          <w:b/>
        </w:rPr>
        <w:t>E. 3</w:t>
      </w:r>
    </w:p>
    <w:p>
      <w:r>
        <w:t>Partant, le recours sera partiellement admis. Le refus d'entrer en matière sera annulé en tant qu'il vise l'infraction de lésions corporelles simples, et la cause renvoyée au Ministère public pour l'ouverture d'une instruction.</w:t>
      </w:r>
    </w:p>
    <w:p>
      <w:r>
        <w:rPr>
          <w:b/>
        </w:rPr>
        <w:t>E. 4</w:t>
      </w:r>
    </w:p>
    <w:p>
      <w:r>
        <w:t>Le recourant, qui n'obtient pas intégralement gain de cause, supportera un quart des frais envers l'État, qui seront fixés en totalité à CHF 1'000.- (art. 428 al. 1 CPP et 13 al. 1 du Règlement fixant le tarif des frais en matière pénale, RTFMP ; E 4 10.03), soit CHF 250.-.</w:t>
      </w:r>
    </w:p>
    <w:p>
      <w:r>
        <w:rPr>
          <w:b/>
        </w:rPr>
        <w:t>E. 5</w:t>
      </w:r>
    </w:p>
    <w:p>
      <w:r>
        <w:t>Bien que représenté par un avocat, le recourant n'a pas chiffré ni justifié de prétentions en indemnité au sens de l'art. 433 al. 2 CPP, applicable en instance de recours (art. 436 al. 1 CPP), de sorte qu'il ne lui en sera point alloué (arrêt du Tribunal fédéral 6B_1345/2016 du 30 novembre 2017 consid. 7.2). * * * * *</w:t>
      </w:r>
    </w:p>
    <w:p>
      <w:r>
        <w:t>- 9/10 - P/13939/2021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