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ACPR/744/2020 vom 2. Oktober 2020</w:t>
      </w:r>
    </w:p>
    <w:p>
      <w:r>
        <w:t>GE Cour de justice, 2020-10-02, FR</w:t>
      </w:r>
    </w:p>
    <w:p>
      <w:r>
        <w:rPr>
          <w:b/>
        </w:rPr>
        <w:t xml:space="preserve">Quelle: </w:t>
      </w:r>
      <w:r>
        <w:t>https://mcp.opencaselaw.ch/entscheid/ge_gerichte_ACPR_744_2020</w:t>
      </w:r>
    </w:p>
    <w:p>
      <w:r>
        <w:t>FR: GE_GERICHTE ACPR/744/2020 du 2 octobre 2020</w:t>
      </w:r>
    </w:p>
    <w:p>
      <w:r>
        <w:t>IT: GE_GERICHTE ACPR/744/2020 del 2 ottobre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- 7/10 - PM/1061/2020</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temporelle d'une libération conditionnelle est réalisée. Si la B______ est favorable à sa libération conditionnelle, tant le SAPEM que le Ministère public y sont défavorables. Il apparaît, comme relevé par le TAPEM, que le recourant a de nombreux antécédents et a déjà bénéficié de deux libérations conditionnelles, l'une en 2013, qui s'est soldée par un échec, et l'autre en 2014 en vue de son départ définitif de Suisse ce qui ne l'a pas empêché de revenir et de commettre de nouvelles infractions. Il a fait montre d'un mauvais comportement à C______, ayant conduit à de nombreuses</w:t>
      </w:r>
    </w:p>
    <w:p>
      <w:r>
        <w:t>- 8/10 - PM/1061/2020 sanctions, et a tenté de s'évader; depuis à peine six mois, il s'est ravisé adoptant un meilleur comportement, vraisemblablement en vue de sa demande de libération conditionnelle. Sa volonté de vouloir rentrer en Tunisie s'est rapidement transformée en volonté de rester en Suisse, alors même qu'il fait l'objet d'une expulsion judicaire et qu'il s'était engagé à contribuer à son renvoi. Ce tableau rend le risque de réitération important, ce d'autant plus que les peines qu'il purge actuellement le sont pour des infractions plus graves que précédemment, ce qu'il convient de ne pas minimiser en termes de sécurité publique. Rien n'indique qu'il saurait mettre davantage à profit une troisième libération conditionnelle. Au vu de ce qui précède, à l'instar du TAPEM, la Chambre de céans ne peut que constater que les conditions de l'art. 86 al. 1 CP ne sont pas réalisées. La libération conditionnelle sera ainsi refusée.</w:t>
      </w:r>
    </w:p>
    <w:p>
      <w:r>
        <w:rPr>
          <w:b/>
        </w:rPr>
        <w:t>E. 4</w:t>
      </w:r>
    </w:p>
    <w:p>
      <w:r>
        <w:t>Justifié,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 E 4 10.03). * * * * *</w:t>
      </w:r>
    </w:p>
    <w:p>
      <w:r>
        <w:t>- 9/10 - PM/1061/2020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