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ACPR/744/2018 vom 28. März 2018</w:t>
      </w:r>
    </w:p>
    <w:p>
      <w:r>
        <w:t>GE Cour de justice, 2018-03-28, FR</w:t>
      </w:r>
    </w:p>
    <w:p>
      <w:r>
        <w:rPr>
          <w:b/>
        </w:rPr>
        <w:t xml:space="preserve">Quelle: </w:t>
      </w:r>
      <w:r>
        <w:t>https://mcp.opencaselaw.ch/entscheid/ge_gerichte_ACPR_744_2018</w:t>
      </w:r>
    </w:p>
    <w:p>
      <w:r>
        <w:t>FR: GE_GERICHTE ACPR/744/2018 du 28 mars 2018</w:t>
      </w:r>
    </w:p>
    <w:p>
      <w:r>
        <w:t>IT: GE_GERICHTE ACPR/744/2018 del 28 marzo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mis en cause d'avoir tenu à son avocat des propos, à son sujet, constitutifs de calomnie, subsidiairement diffamation, en concours avec l'injure.</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w:t>
      </w:r>
    </w:p>
    <w:p>
      <w:r>
        <w:t>- 7/12 - P/23344/2017</w:t>
      </w:r>
    </w:p>
    <w:p>
      <w:r>
        <w:rPr>
          <w:b/>
        </w:rPr>
        <w:t>E. 3.2</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En doctrine, la majorité des auteurs estime que le cercle des personnes considérées comme tiers doit être limité et que les propos attentatoires à l'honneur ne devraient pas être punissables lorsqu'ils sont énoncés dans un cercle familial étroit ou adressés à des personnes astreintes au secret professionnel au sens de l'art. 321 CP (arrêt du Tribunal fédéral 6S_3/2007 du 13 février 2007 consid. 4.3 et les références citées). Dans un arrêt non publié du 11 juillet 1957 (cité dans l'ATF 86 IV 209 et dans un arrêt du Tribunal fédéral 6B_229/2016 du 8 juin 2016 consid. 1.1.), le Tribunal fédéral a examiné, sans la trancher, la question de savoir s'il n'y avait pas lieu d'exclure du cercle des tiers les confidents nécessaires. Il a admis qu'il n'y avait pas lieu de déroger à la règle en déniant à l'avocat la qualité de tiers par rapport à son client. Par ailleurs, certains auteurs notent que même un confident est un tiers envers lequel l'image de la victime peut être dégradée, de sorte que l'impunité doit être subordonnée à une pesée des intérêts dans le cadre de laquelle le besoin de communiquer ne sera prépondérant que si l'auteur ne connaissait pas la fausseté de ses allégations et avait de bonnes raisons de penser que son interlocuteur respecterait la confidentialité. Sur cette base, le Tribunal fédéral, dans son arrêt du 8 juin 2016 précité, a dénié à l'avocat du recourant la qualité de "confident nécessaire" dès lors que la nature des propos qu'il lui avait tenu n'avait pas de lien objectif avec les affaires qui justifiaient son intervention à titre d'avocat. Ce faisant, le recourant s'était ainsi écarté du cadre dans lequel il aurait exceptionnellement été possible d'admettre l'existence d'une situation de "confident nécessaire" (arrêt du Tribunal fédéral 6B_229/2016 précité consid. 1.2.).</w:t>
      </w:r>
    </w:p>
    <w:p>
      <w:r>
        <w:rPr>
          <w:b/>
        </w:rPr>
        <w:t>E. 3.3</w:t>
      </w:r>
    </w:p>
    <w:p>
      <w:r>
        <w:t>Se rend coupable d'injure celui qui aura, par la parole, l'écriture, l'image, le geste ou par des voies de fait, attaqué autrui dans son honneur (art. 177 al. 1 CP), en s'adressant à des tiers ou à la victime (ATF 128 IV 53 consid. I A 1(aa)). Cette infraction est subsidiaire par rapport à la diffamation (art. 173 CP) ou à la calomnie (art. 174 CP), pour lesquelles il faut évoquer un fait, et non pas un simple jugement de valeur (B. CORBOZ, Les infractions en droit suisse, vol. I, 3e éd., Berne 2010, n. 10 ad. art. 177 CP).</w:t>
      </w:r>
    </w:p>
    <w:p>
      <w:r>
        <w:rPr>
          <w:b/>
        </w:rPr>
        <w:t>E. 3.4</w:t>
      </w:r>
    </w:p>
    <w:p>
      <w:r>
        <w:t>En l'espèce, le recourant reproche au mis en cause d'avoir tenu à son avocat des propos faux et attentatoires à son honneur. Force est de constater que, à la lumière de la jurisprudence précitée, lesdits propos l'ont été dans le cadre du mandat confié et en lien avec la problématique du catamaran, de sorte que son avocat revêtait la qualité de "confident nécessaire". De plus, à teneur du dossier, il n’apparaît pas que ce courrier ait été destiné à un autre lecteur qu'au recourant, ni que ces propos devaient être communiqués à d'autres tiers. L'avocat du mis en cause a, à ce stade,</w:t>
      </w:r>
    </w:p>
    <w:p>
      <w:r>
        <w:t>- 8/12 - P/23344/2017 servi d'intermédiaire entre son client et le recourant. Par conséquent, à défaut de "tiers" à qui ces propos ont été relatés, la commission des infractions de calomnie et diffamation est exclue. Les faits reprochés par le mis en cause au recourant dans le courrier de son avocat reposant sur des allégations de fait et non des simples jugements de valeur, l'injure ne trouve ici pas non plus application. En outre, le courrier litigieux, en tant qu'il émet des réserves quant à la véracité des faits qu'il énonce, n'apparaît pas attentatoire à l'honneur. Ce grief sera dès lors rejeté.</w:t>
      </w:r>
    </w:p>
    <w:p>
      <w:r>
        <w:rPr>
          <w:b/>
        </w:rPr>
        <w:t>E. 4</w:t>
      </w:r>
    </w:p>
    <w:p>
      <w:r>
        <w:t>Le recourant reproche également au Ministère public de ne pas avoir retenu que les propos tenus par le mis en cause à H______ étaient constitutifs de calomnie (art. 173 CP), subsidiairement diffamation (art. 174 CP), et injure (art. 177 CP). Il considère, en outre, que la compétence des autorités suisses était donnée pour traiter de ces infractions.</w:t>
      </w:r>
    </w:p>
    <w:p>
      <w:r>
        <w:rPr>
          <w:b/>
        </w:rPr>
        <w:t>E. 4.1</w:t>
      </w:r>
    </w:p>
    <w:p>
      <w:r>
        <w:t>L'acceptation du for était motivée par le lieu d'établissement de l'Étude de l'avocat ayant rédigé le courrier du 8 août 2017. La compétence ratione loci du Ministère public genevois n'a pas été tranchée par le Procureur s'agissant des propos tenus par le mis en cause à H______. Cependant, vu l'issue du litige, cette question peut rester ouverte.</w:t>
      </w:r>
    </w:p>
    <w:p>
      <w:r>
        <w:rPr>
          <w:b/>
        </w:rPr>
        <w:t>E. 4.2</w:t>
      </w:r>
    </w:p>
    <w:p>
      <w:r>
        <w:t>Les art. 173, 174 et 177 CP visent à protéger l'honneur. Pour apprécier si une déclaration est attentatoire à l'honneur, il faut se fonder non pas sur le sens que lui donne la personne visée, mais sur une interprétation objective selon le sens qu'un destinataire non prévenu doit, dans les circonstances d'espèce, lui attribuer (ATF 128 IV 53 consid. 1a et les arrêts cités). Cette disposition protège la réputation d'être une personne honorable, c'est-à-dire de se comporter comme une personne digne a coutume de le faire selon les conceptions généralement reçues. Il faut donc que l'atteinte fasse apparaître la personne visée comme méprisable (ATF 137 IV 313 consid. 2.1.1 ; 119 IV 44 consid. 2a et les arrêts cités). En revanche, la réputation relative à l'activité professionnelle ou au rôle joué dans la communauté n'est pas pénalement protégée; il en va ainsi des critiques qui visent comme tel l'homme de métier, l'artiste, le politicien, même si elles sont de nature à blesser et à discréditer (ATF 119 IV 44 consid. 2a ; arrêt du Tribunal fédéral 6B_6/2015 du 23 mars 2016 consid. 2.2 et 3.3). Les attaques qui mettent en cause les aptitudes professionnelles d'une personne ne sont ainsi pas constitutives d'atteinte à l'honneur. L'attaque ou la critique porte toutefois atteinte à l'honneur protégé par le droit pénal si elle ne se limite pas à rabaisser les qualités politiques ou professionnelles, mais est également propre à l'exposer au mépris en tant qu'être humain (ATF 137 IV 313 consid. 2.1.4 ; arrêt du Tribunal fédéral 6B_6/2015 du 23 mars 2016 consid. 2.2).</w:t>
      </w:r>
    </w:p>
    <w:p>
      <w:r>
        <w:t>- 9/12 - P/23344/2017 La calomnie (art. 174 CP) est une forme qualifiée de diffamation (art. 173 CP), dont elle se distingue en cela que les allégations attentatoires à l'honneur sont fausses, que l'auteur doit avoir eu connaissance de la fausseté de ses allégations.</w:t>
      </w:r>
    </w:p>
    <w:p>
      <w:r>
        <w:rPr>
          <w:b/>
        </w:rPr>
        <w:t>E. 4.3</w:t>
      </w:r>
    </w:p>
    <w:p>
      <w:r>
        <w:t>En l'espèce, les propos querellés ressortent de notes prises "à la volée" lors d'une conversation téléphonique par H______ qui entretient des liens amicaux avec le recourant, comme en témoignent ses courriels qu'elle signe d'un "amicalement", de sorte qu'ils doivent être appréciés avec circonspection. Cela étant précisé, le recourant allègue qu'en l'accusant de délits contre le patrimoine, le mis en cause remettait directement en cause sa qualité d'homme d'affaires intègre. Or, la réputation professionnelle n'est pas protégée par les art. 173ss CP. C'est donc avec raison que le Ministère public a considéré que les infractions susmentionnées n'étaient pas réalisées.</w:t>
      </w:r>
    </w:p>
    <w:p>
      <w:r>
        <w:rPr>
          <w:b/>
        </w:rPr>
        <w:t>E. 5</w:t>
      </w:r>
    </w:p>
    <w:p>
      <w:r>
        <w:t>Le recourant estime que les propos tenus par le mis en cause dans le courrier de son avocat du 8 août 2017 seraient constitutifs d'une tentative d'extorsion (art. 22 et 156 CP), voire d'une contrainte (art. 181 CP).</w:t>
      </w:r>
    </w:p>
    <w:p>
      <w:r>
        <w:rPr>
          <w:b/>
        </w:rPr>
        <w:t>E. 5.1</w:t>
      </w:r>
    </w:p>
    <w:p>
      <w:r>
        <w:t>À teneur de l'art. 181 CP, se rend coupable d'une contrainte, celui qui, en usant de violence envers une personne ou en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Il peut également y avoir une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arrêt du Tribunal fédéral 6B_1043/2015 du</w:t>
      </w:r>
    </w:p>
    <w:p>
      <w:r>
        <w:rPr>
          <w:b/>
        </w:rPr>
        <w:t>E. 5.2</w:t>
      </w:r>
    </w:p>
    <w:p>
      <w:r>
        <w:t>L'art. 156 al. 1 CP (extorsion et chantage) punit celui qui, dans le dessein de se procurer ou de procurer à un tiers un enrichissement illégitime, aura déterminé une personne à des actes préjudiciables à ses intérêts pécuniaires ou à ceux d'un tiers, en usant de violence ou en la menaçant d'un dommage sérieux. Pour que cette infraction soit objectivement réalisée, il faut que l'auteur, par un moyen de contrainte, ait déterminé une personne à accomplir un acte portant atteinte à son patrimoine ou à celui d'un tiers (arrêt du Tribunal fédéral 6B_275/2016 du 9 décembre 2016 consid. 4.1). La loi prévoit deux moyens de contrainte : la violence – qui n'entre pas en considération en l'espèce – et la menace d'un dommage sérieux. La menace est un moyen de pression psychologique. L'auteur doit faire craindre à la victime un inconvénient, dont l'arrivée paraît dépendre de sa volonté (ATF 122 IV 322 consid. 1a p. 324 ad art. 181 CP). Il importe peu qu'en réalité l'auteur ne puisse pas influencer la survenance de l'événement préjudiciable (ATF 106 IV 125 consid. 1a p. 128 ad art. 181 CP) ou qu'il n'ait pas l'intention de mettre sa menace à exécution (ATF 122 IV 322 consid. 1a p. 324 ad art. 181 CP). Une infraction d'extorsion peut aussi exister en cas de moyen de pression licite. Tel est le cas si l'auteur menace d'un comportement en soi permis, dépendant de sa volonté – comme par exemple le dépôt d'une plainte pénale –, pour obtenir l'exécution d'une prestation, alors que la prétention demandée n'existe pas, n'est juridiquement pas fondée ou est disproportionnée (arrêts du Tribunal fédéral 6B_275/2016 du 9 décembre 2016 consid. 4.2.2.; 6B_411/2009 du 18 août 2009 consid. 3.2 ; 6B_402/2008 du 6 novembre 2008 consid. 2.4.2.3). Celui qui, sous la menace d'une plainte pénale, exige, dans un dessein d'enrichissement, plus que ce qui lui est dû, commet une extorsion. Si, en revanche, la prestation est due, il n'y a pas d'extorsion, mais éventuellement une infraction de contrainte, en cas de rapport "moyen/but " abusif ou contraire aux mœurs (arrêt du Tribunal fédéral 6B_275/2016 précité).</w:t>
      </w:r>
    </w:p>
    <w:p>
      <w:r>
        <w:rPr>
          <w:b/>
        </w:rPr>
        <w:t>E. 5.3</w:t>
      </w:r>
    </w:p>
    <w:p>
      <w:r>
        <w:t>En l'espèce, la déclaration du recourant, exposant qu'"avant d'entreprendre une action contre [lui] devant les tribunaux suisses […], [il] était disposé à analyser une proposition de [sa] part visant à obtenir la réparation de l'intégralité de son préjudice", n'est pas constitutive d'une menace. Elle apparaît comme une invitation – certes ferme – à entreprendre des discussions en vue d'un accord transactionnel, pratique usuelle dans de tels différents, qui n'est pas pénalement répréhensible. Ce grief sera dès lors rejeté. 6. Justifiée, l'ordonnance querellée sera donc confirmée. 7. Le recourant, qui succombe, supportera les frais envers l'État, fixés en totalité à CHF 1'000.-, y compris un émolument de décision (art. 428 al. 1 CPP et 13 al. 1 du Règlement fixant le tarif des frais en matière pénale, RTFMP ; E 4 10.03).</w:t>
      </w:r>
    </w:p>
    <w:p>
      <w:r>
        <w:t>- 11/12 - P/23344/2017 * * * * *</w:t>
      </w:r>
    </w:p>
    <w:p>
      <w:r>
        <w:rPr>
          <w:b/>
        </w:rPr>
        <w:t>E. 9</w:t>
      </w:r>
    </w:p>
    <w:p>
      <w:r>
        <w:t>décembre 2015 consid. 4.3.1.). Selon la jurisprudence,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w:t>
      </w:r>
    </w:p>
    <w:p>
      <w:r>
        <w:t>- 10/12 - P/23344/2017 contraire aux mœurs (ATF 137 IV 326 consid. 3.3.1 p. 328; 134 IV 216 consid. 4.1; arrêt du Tribunal fédéral 6B_1043/2015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