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ACPR/743/2022 vom 10. Oktober 2022</w:t>
      </w:r>
    </w:p>
    <w:p>
      <w:r>
        <w:t>GE Cour de justice, 2022-10-10, FR</w:t>
      </w:r>
    </w:p>
    <w:p>
      <w:r>
        <w:rPr>
          <w:b/>
        </w:rPr>
        <w:t xml:space="preserve">Quelle: </w:t>
      </w:r>
      <w:r>
        <w:t>https://mcp.opencaselaw.ch/entscheid/ge_gerichte_ACPR_743_2022</w:t>
      </w:r>
    </w:p>
    <w:p>
      <w:r>
        <w:t>FR: GE_GERICHTE ACPR/743/2022 du 10 octobre 2022</w:t>
      </w:r>
    </w:p>
    <w:p>
      <w:r>
        <w:t>IT: GE_GERICHTE ACPR/743/2022 del 10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2.1</w:t>
      </w:r>
    </w:p>
    <w:p>
      <w:r>
        <w:t>Les critiques visant la Procureure chargée de la présente procédure font déjà l'objet d'une demande de récusation pendante devant la Chambre de céans</w:t>
      </w:r>
    </w:p>
    <w:p>
      <w:r>
        <w:t>- 5/7 - P/15996/2021 (PS/33/2022), de sorte qu'elles dépassent le cadre du présent recours. La conclusion demandant le changement de magistrat est ainsi irrecevable.</w:t>
      </w:r>
    </w:p>
    <w:p>
      <w:r>
        <w:rPr>
          <w:b/>
        </w:rPr>
        <w:t>E. 2.2</w:t>
      </w:r>
    </w:p>
    <w:p>
      <w:r>
        <w:t>La recourante a recouru contre le refus de changement de défenseur d'office – recours actuellement pendant devant la Chambre de céans –, de sorte que le grief visant son avocat est sans portée ici, et sa demande de nommer un nouvel avocat est irrecevable.</w:t>
      </w:r>
    </w:p>
    <w:p>
      <w:r>
        <w:rPr>
          <w:b/>
        </w:rPr>
        <w:t>E. 3</w:t>
      </w:r>
    </w:p>
    <w:p>
      <w:r>
        <w:t>La recourante estime que les mesures de substitution à la détention, dont elle fait l'objet, ne seraient "ni prévues ni justifiées", et conduiraient à la censurer.</w:t>
      </w:r>
    </w:p>
    <w:p>
      <w:r>
        <w:rPr>
          <w:b/>
        </w:rPr>
        <w:t>E. 3.1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 7 décembre 2011 consid. 4.2).</w:t>
      </w:r>
    </w:p>
    <w:p>
      <w:r>
        <w:rPr>
          <w:b/>
        </w:rPr>
        <w:t>E. 3.2</w:t>
      </w:r>
    </w:p>
    <w:p>
      <w:r>
        <w:t>En l'espèce, les mesures de substitution litigieuses font interdiction à la prévenue de tenir tout propos à l'encontre des parties plaignantes, par quelque moyen de communication que ce soit, de nature à porter atteinte à leur honneur ou se rapportant aux faits faisant l'objet de la présente procédure ainsi que des procédures pénales parallèles. Il s'agit, ni plus ni moins, d'interdire à la recourante de commettre des infractions contre l'honneur (art. 173 CP) et de l'obliger à garder le silence sur la procédure (art. 73 al. 2 CP), ce qui respecte les principes de légalité et de proportionnalité. Il n'y a là aucune censure, mais le strict respect de principes légaux.</w:t>
      </w:r>
    </w:p>
    <w:p>
      <w:r>
        <w:rPr>
          <w:b/>
        </w:rPr>
        <w:t>E. 4</w:t>
      </w:r>
    </w:p>
    <w:p>
      <w:r>
        <w:t>Le recours s'avère ainsi infondé et doit être rejeté.</w:t>
      </w:r>
    </w:p>
    <w:p>
      <w:r>
        <w:rPr>
          <w:b/>
        </w:rPr>
        <w:t>E. 5</w:t>
      </w:r>
    </w:p>
    <w:p>
      <w:r>
        <w:t>La recourante, qui succombe, supportera les frais envers l'État, qui seront arrêtés en totalité à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- 6/7 -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