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ACPR/743/2018 vom 14. November 2018</w:t>
      </w:r>
    </w:p>
    <w:p>
      <w:r>
        <w:t>GE Cour de justice, 2018-11-14, FR</w:t>
      </w:r>
    </w:p>
    <w:p>
      <w:r>
        <w:rPr>
          <w:b/>
        </w:rPr>
        <w:t xml:space="preserve">Quelle: </w:t>
      </w:r>
      <w:r>
        <w:t>https://mcp.opencaselaw.ch/entscheid/ge_gerichte_ACPR_743_2018</w:t>
      </w:r>
    </w:p>
    <w:p>
      <w:r>
        <w:t>FR: GE_GERICHTE ACPR/743/2018 du 14 novembre 2018</w:t>
      </w:r>
    </w:p>
    <w:p>
      <w:r>
        <w:t>IT: GE_GERICHTE ACPR/743/2018 del 14 novembre 2018</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ad art. 363). Depuis le 1er janvier 2017,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Le recours contre la décision querellée a été déposé selon la forme et dans le délai (art. 385 et 396 al. 1 CPP) et émane du condamné, qui a un intérêt à l'annulation de la décision entreprise (art. 104 al. 1 let. a, 111 et 382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le refus de sa demande de libération conditionnelle.</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w:t>
      </w:r>
    </w:p>
    <w:p>
      <w:r>
        <w:t>- 6/9 - PM/1202/2018 La jurisprudence relative à l'art. 38 ch. 1 al. 1 aCP, sur le pronostic favorable, a conservé son actualité (arrêt du Tribunal fédéral 6B_72/2007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Dans le cas d'un détenu ayant commis plusieurs graves délits liés à la drogue, le Tribunal fédéral a considéré que, bien que de telles violations de la LStup ne doivent pas être considérées comme des cas bagatelles, le juge ne peut pas retenir un pronostic défavorable uniquement sur la base des antécédents et faire ainsi du besoin de protection de la population un principe absolu (ATF 133 IV 201 consid. 3.2; M. DUPUIS / L. MOREILLON / C. PIGUET / S. BERGER / M. MAZOU / V. RODIGARI (éds), Code pénal - Petit commentaire, 2e éd., Bâle 2017, n. 8 ad art. 86 CP).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6A_78/2000 du 3 novembre 2000 consid. 2 et 6A_34/2006 du 30 mai 2006 consid. 2.1; A. BAECHTOLD, Exécution des peines : l'exécution des peines et mesures concernant les adultes en Suisse, Berne 2008, p. 269, arrêts de la CPAR, AARP/309/2013 du 11 juin 2013 consid. 2.2.3 et AARP/14/2014 du 8 janvier 2014 consid. 2.2.3) ou dans un État tiers, ce qui est le cas, par exemple, pour le détenu étranger dont l'infraction est notamment liée à des problèmes d'intégration. Même si l'on peut admettre que l'étranger au bénéfice d'une libération conditionnelle quitte la Suisse, l'évaluation du succès ou de l'échec de sa mise à l'épreuve dans un pays tiers reste, le plus souvent illusoire, faute d'informations précises. Ceci ne devrait toutefois pas entraîner une situation plus défavorable pour le détenu étranger. Enfin, il faut bien considérer que dans l'hypothèse d'un échec de la mise à l'épreuve, mais en dehors du territoire suisse, une révocation de la libération conditionnelle ne pourrait pas vraiment être suivie d'effets. Cette situation, dans certains cas limites, pourrait donc bien justifier une pratique restrictive de l'octroi de la libération conditionnelle.</w:t>
      </w:r>
    </w:p>
    <w:p>
      <w:r>
        <w:t>- 7/9 - PM/1202/2018</w:t>
      </w:r>
    </w:p>
    <w:p>
      <w:r>
        <w:rPr>
          <w:b/>
        </w:rPr>
        <w:t>E. 3.2</w:t>
      </w:r>
    </w:p>
    <w:p>
      <w:r>
        <w:t>En l'espèce, la condition objective d'une libération conditionnelle est, certes, réalisée depuis le 16 novembre 2018. Le recourant ne bénéficie cependant pas de préavis positifs, hormis celui de l'établissement d'exécution. Il a déjà été condamné à quatre reprises, dont une fois pour infraction à la LStup, ce après l'avoir été en France pour la même infraction. Ce tableau, avec la récidive après une précédente libération conditionnelle, rend le risque de réitération important. Il l'est d'autant plus que les projets d'avenir du recourant ne sont pas étayés. Le recourant n'a fourni aucune précision fiable et concrète sur ses intentions matrimoniales et la possibilité de travailler à sa sortie. Sa stabilisation personnelle et professionnelle n'est pas établie en l'état. À défaut, il pourrait rapidement être tenté de se livrer à nouveau à des actes de délinquance dans lesquels il est retombé dès après sa sortie de prison en France. Il résulte que le risque de récidive doit être qualifié d'élevé, ce que le premier juge a correctement apprécié.</w:t>
      </w:r>
    </w:p>
    <w:p>
      <w:r>
        <w:rPr>
          <w:b/>
        </w:rPr>
        <w:t>E. 4</w:t>
      </w:r>
    </w:p>
    <w:p>
      <w:r>
        <w:t>Justifié, le jugement querellé sera donc confirmé.</w:t>
      </w:r>
    </w:p>
    <w:p>
      <w:r>
        <w:rPr>
          <w:b/>
        </w:rPr>
        <w:t>E. 5</w:t>
      </w:r>
    </w:p>
    <w:p>
      <w:r>
        <w:t>Le recourant, qui succombe, supportera les frais envers l'État, qui comprendront un émolument de CHF 800.- (art. 428 al. 1 CPP et 13 al. 1 du Règlement fixant le tarif des frais en matière pénale, RTFMP; E 4 10.03). * * * * *</w:t>
      </w:r>
    </w:p>
    <w:p>
      <w:r>
        <w:t>- 8/9 - PM/1202/2018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