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ACPR/742/2024 vom 26. Juli 2024</w:t>
      </w:r>
    </w:p>
    <w:p>
      <w:r>
        <w:t>GE Cour de justice, 2024-07-26, FR</w:t>
      </w:r>
    </w:p>
    <w:p>
      <w:r>
        <w:rPr>
          <w:b/>
        </w:rPr>
        <w:t xml:space="preserve">Quelle: </w:t>
      </w:r>
      <w:r>
        <w:t>https://mcp.opencaselaw.ch/entscheid/ge_gerichte_ACPR_742_2024</w:t>
      </w:r>
    </w:p>
    <w:p>
      <w:r>
        <w:t>FR: GE_GERICHTE ACPR/742/2024 du 26 juillet 2024</w:t>
      </w:r>
    </w:p>
    <w:p>
      <w:r>
        <w:t>IT: GE_GERICHTE ACPR/742/2024 del 26 luglio 2024</w:t>
      </w:r>
    </w:p>
    <w:p>
      <w:pPr>
        <w:pStyle w:val="Heading2"/>
      </w:pPr>
      <w:r>
        <w:t>Erwägungen</w:t>
      </w:r>
    </w:p>
    <w:p>
      <w:r>
        <w:rPr>
          <w:b/>
        </w:rPr>
        <w:t>E. 1.1</w:t>
      </w:r>
    </w:p>
    <w:p>
      <w:r>
        <w:t>Le recours a été interjeté selon la forme et dans le délai prescrits (art. 385 al. 1 et 396 al. 1 CPP; ATF 147 IV 526 consid. 3.1), en tant qu'il sera admis qu'il a été déposé dans une boîte postale, sous les yeux d'un témoin, le dernier jour du délai de recours. 1.2.1. Ont qualité de parties à la procédure, les tiers touchés par des actes de procédure (art. 105 al. 1 let. f CPP) soit, en particulier, par des mesures de contrainte ou une confiscation (Y. JEANNERET / A. KUHN / C. PERRIER DEPEURSINGE (éds), Commentaire romand : Code de procédure pénale suisse, 2ème éd., Bâle 2019, n. 23-24 ad art. 105), mais pour autant qu'ils soient directement touchés dans leurs droits par des actes ou décisions de l'autorité (Y. JEANNERET / A. KUHN / C. PERRIER DEPEURSINGE (éds), op.cit., n. 2 ad art. 105). La qualité de partie, et donc, en principe, aussi la qualité pour recourir (art. 382 CPP), est alors reconnue à ces participants, dans la mesure nécessaire à la sauvegarde de leurs intérêts (art. 105 al. 2 CPP). 1.2.2. Même si le Ministère public soulève, dans ses observations, une certaine ambiguïté sur le réel possesseur du véhicule initialement saisi, il ne semble pas contesté que le recourant en soit le détenteur. C'est en tous cas à lui que la voiture a été restituée après la levée de la mesure, si bien que l'intéressé revêt la qualité de tiers touché par un acte de procédure et dispose, à ce titre, d'un intérêt juridiquement protégé à recourir contre la décision querellée. 1.3.1. Le recours est recevable contre les décisions et les actes de procédure de la police, du ministère public et des autorités pénales compétentes en matière de contraventions (art. 393 al. 1 let. a CPP). En principe, les prétentions des tiers en indemnisation sont réglées dans le cadre de la décision finale. Lorsque le cas est clair, le ministère public peut les régler déjà au stade de la procédure préliminaire (art. 434 al. 2 CPP). Si la loi ne définit pas la notion de cas clair, elle doit surtout être envisagée pour une situation dans laquelle l'existence d'un dommage ainsi que sa réparation ne sauraient être discutées. Si les</w:t>
      </w:r>
    </w:p>
    <w:p>
      <w:r>
        <w:t>- 6/11 - P/12003/2022 prétentions doivent être rejetées, cela doit se faire dans tous les cas dans le cadre de la décision finale (M. NIGGLI / M. HEER / H. WIPRÄCHTIGER (éds), Basler Kommentar StPO / JStPO, 3ème éd., Bâle 2023, n. 11 ad art. 434; L. MOREILLON / A. PAREIN-REYMOND, Petit commentaire CPP, Bâle 2016, n. 10 ad art. 434). 1.3.2. En l'occurrence, le Ministère public rejette, dans sa décision déférée, plusieurs postes de l'indemnisation sollicitée par le recourant. Ce refus exclut – en principe – l'application du cas clair au sens de l'art. 434 CPP et, par extension, la possibilité, pour l'autorité intimée, de statuer dans le cadre de la procédure préliminaire. En d'autres termes, le Ministère public devait réserver le sort – contesté – de l'indemnisation du recourant pour la décision finale, étant rappelé qu'il a annoncé son intention de dresser un acte d'accusation. Cela étant dit, par économie de procédure, il se justifie – en l'occurrence – de ne pas se montrer trop strict quant aux obligations formelles susmentionnées et de considérer que la décision querellée est sujette à recours auprès de la Chambre de céans (art. 393 al. 1 let. a CPP). Le recours est donc recevable.</w:t>
      </w:r>
    </w:p>
    <w:p>
      <w:r>
        <w:rPr>
          <w:b/>
        </w:rPr>
        <w:t>E. 2</w:t>
      </w:r>
    </w:p>
    <w:p>
      <w:r>
        <w:t>Sont également recevables les pièces nouvelles produites dans le cadre de la procédure de recours (arrêt du Tribunal fédéral 1B_550/2022 du 17 novembre 2022 consid. 2.2).</w:t>
      </w:r>
    </w:p>
    <w:p>
      <w:r>
        <w:rPr>
          <w:b/>
        </w:rPr>
        <w:t>E. 3</w:t>
      </w:r>
    </w:p>
    <w:p>
      <w:r>
        <w:t>Le recourant reproche au Ministère public de lui avoir refusé l'indemnité sollicitée.</w:t>
      </w:r>
    </w:p>
    <w:p>
      <w:r>
        <w:rPr>
          <w:b/>
        </w:rPr>
        <w:t>E. 3.1</w:t>
      </w:r>
    </w:p>
    <w:p>
      <w:r>
        <w:t>Aux termes de l'art. 434 al. 1 CPP, les tiers qui, par le fait d'actes de procédure ou du fait de l'aide apportée aux autorités pénales, subissent un dommage ont droit à une juste compensation si le dommage n'est pas couvert d'une autre manière, ainsi qu'à une réparation du tort moral. La notion de juste compensation du dommage se réfère aux principes généraux du droit de la responsabilité civile, à l'instar de ce qui prévaut pour l'indemnisation du prévenu (art. 429 ss CPP). Il s'agit en principe d'une pleine indemnité pour les inconvénients subis. Le dommage susceptible d'être compensé consiste dans une diminution du patrimoine du tiers lésé, qui pourra être matérielle, économique ou encore provoquée par les frais de défense et de procédure engagés pour faire valoir ses droits (arrêt du Tribunal fédéral 6B_1210/2017 du 10 avril 2018 consid. 4.1).</w:t>
      </w:r>
    </w:p>
    <w:p>
      <w:r>
        <w:rPr>
          <w:b/>
        </w:rPr>
        <w:t>E. 3.2</w:t>
      </w:r>
    </w:p>
    <w:p>
      <w:r>
        <w:t>Le tiers lésé doit apporter la preuve du dommage qu'il allègue et de son lien de causalité avec un acte de procédure de l'autorité pénale ou du fait de l'aide apportée à cette dernière (Y. JEANNERET / A. KUHN / C. PERRIER DEPEURSINGE (éds), op. cit., n. 11 ad art. 434).</w:t>
      </w:r>
    </w:p>
    <w:p>
      <w:r>
        <w:t>- 7/11 - P/12003/2022</w:t>
      </w:r>
    </w:p>
    <w:p>
      <w:r>
        <w:rPr>
          <w:b/>
        </w:rPr>
        <w:t>E. 3.2.1</w:t>
      </w:r>
    </w:p>
    <w:p>
      <w:r>
        <w:t>Le lien de causalité s'apprécie selon les principes de la causalité naturelle et adéquate et selon le degré de la haute vraisemblance (arrêts du Tribunal fédéral 6B_1246/2022 du 11 octobre 2023 consid. 9.1.4; 6B_740/2016 du 2 juin 2017 consid. 3.1).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w:t>
      </w:r>
    </w:p>
    <w:p>
      <w:r>
        <w:rPr>
          <w:b/>
        </w:rPr>
        <w:t>E. 3.2.2</w:t>
      </w:r>
    </w:p>
    <w:p>
      <w:r>
        <w:t>Le devoir d'indemnisation de l'État en vertu de l'art. 434 CPP peut être réduit, notamment en cas de non-respect par le lésé du devoir de diminution du dommage, voire complétement supprimé lorsque la faute du lésé est si importante qu'elle interrompt le lien de causalité adéquate entre le dommage et l'acte de procédure considérée (Y. JEANNERET / A. KUHN / C. PERRIER DEPEURSINGE (éds), op. cit., n. 12 ad art. 434).</w:t>
      </w:r>
    </w:p>
    <w:p>
      <w:r>
        <w:rPr>
          <w:b/>
        </w:rPr>
        <w:t>E. 3.3</w:t>
      </w:r>
    </w:p>
    <w:p>
      <w:r>
        <w:t>L'autorité pénale qui prononce un séquestre a pour obligation première de veiller à la conservation des biens saisis jusqu'à droit connu sur leur sort définitif (arrêt du Tribunal fédéral 1B_461/2017 du 8 janvier 2018 consid. 2.1). Le séquestre n'étant pas une sanction économique, l'autorité doit éviter des pertes de valeur occasionnées par la mesure de contrainte (arrêt du Tribunal fédéral 1B_671/2011 du 20 février 2012 consid. 2.3). De manière générale, l’autorité pénale, en accord avec, le cas échéant, les autorités de police et les services administratifs, doit assurer la mise en place d’un système de conservation efficace. Dans ce cadre, le propriétaire a tout intérêt à se déterminer en temps utile sur les modalités de stockage choisies par l’autorité pénale (Y. JEANNERET / A. KUHN / C. PERRIER DEPEURSINGE (éds), op. cit., n. 5a ad art. 266).</w:t>
      </w:r>
    </w:p>
    <w:p>
      <w:r>
        <w:rPr>
          <w:b/>
        </w:rPr>
        <w:t>E. 3.4</w:t>
      </w:r>
    </w:p>
    <w:p>
      <w:r>
        <w:t>En l'espèce, le Ministère public a, le 3 novembre 2022, saisi la G______/1______, sur la base de la dénonciation anonyme accompagnant la plainte à l'origine de l'instruction. Nul n'est besoin d'examiner le bien-fondé du séquestre au moment où il a été ordonné, ni de son maintien par la suite. Quoiqu'il en fût, une fois la mesure prononcée et jusqu'à sa levée, la valeur du bien devait être maintenue, cela tant dans l'intérêt de l'ayant droit que celui de l'autorité (ACPR/806/2020 du 13 novembre 2020 consid. 3.4; ACPR/839/2017 du 7 décembre 2017 consid. 2.3). Même s'il est patent que l'immobilisation d'un véhicule automobile est susceptible d'entrainer des problèmes mécaniques ou électriques, la majorité des prétentions élevées par le recourant à ce titre ne réunissent cependant pas les conditions de l'art. 434 CPP.</w:t>
      </w:r>
    </w:p>
    <w:p>
      <w:r>
        <w:t>- 8/11 - P/12003/2022 Le véhicule a été libéré et restitué au recourant après certes presque vingt mois passés à la fourrière. À défaut d'information, on peut supputer que la voiture a été, durant ce laps de temps, entreposée en ce lieu, sans avoir bénéficié d'un quelconque entretien. Ce délai apparaît long, surtout compte tenu – a posteriori – de l'issue de la mesure, et appelait quelques précautions pour conserver le bien. Cela étant, il convient de souligner, à titre liminaire, que le recourant a attendu environ dix mois avant de demander, pour la première fois, la restitution du véhicule. En outre, s'il a, par la suite, maintes fois sollicité la restitution du bien, il ne s'est jamais enquis des conditions d'entreposage de la voiture, ni n'a requis des mesures d'entretien particulières. Ensuite, le devis du garage fait état d'un remplacement des quatre pneus. Cela ne suffit pas à établir que ceux-ci étaient "craquelés" lorsque la mesure de séquestre a été levée et la voiture restituée. Surtout que l'état des roues au moment de la saisie du véhicule (de même qu'après la première demande de restitution du recourant), qui avait été mis en circulation depuis dix ans environ et affichait plus de 100'000 km au compteur, demeure inconnu. Comme, en outre, le recourant n'a jamais démontré – ni même allégué – avoir équipé la voiture d'un jeu de pneus neuf avant la mesure, toute éventuelle altération des roues et de leurs composants ne saurait être considérée, avec certitude, comme consécutive à l'immobilisation du véhicule. Le lien de causalité entre le dommage et la mesure n'est ainsi pas établi. Pour la climatisation et le changement des balais d'essuie-glace, il apparaît également tout à fait probable, vu l'ancienneté de la voiture et en l'absence de preuve contraire, que ces éléments étaient d'ores et déjà vétustes au moment de la saisie. D'autant que l'usure, en particulier des essuie-glaces, est naturelle, que le véhicule soit utilisé ou immobilisé. Leur changement est d'ailleurs courant lors des services d'entretien, de sorte que là encore, le lien de causalité ne peut pas être retenu. Le dégonflement des pneus est inévitable en cas d'inutilisation prolongée, même s'ils sont neufs. Toutefois, le diagnostic et les réparations pour ce problème peuvent être aisément réalisés manuellement, sans l'intervention d'un spécialiste. C'est donc à raison que le Ministère public a refusé d'indemniser le recourant pour tous ces postes. En revanche, il est notoire que la batterie d'un véhicule automobile se décharge lorsqu'elle n'est pas utilisée pendant une certaine période. Dans un tel cas, il est nécessaire de la recharger, voire de la remplacer, pour pouvoir démarrer. Un examen global – et avisé – de l'état de la voiture, en particulier du moteur, apparaît également nécessaire avant de réutiliser une voiture restée longtemps immobilisée, ceci afin d'écarter tous risques mécaniques et sécuritaires.</w:t>
      </w:r>
    </w:p>
    <w:p>
      <w:r>
        <w:t>- 9/11 - P/12003/2022 À cet égard, le recourant explique avoir déjà dû remplacer la batterie et effectuer un "contrôle général" du véhicule, avant de pouvoir en reprendre possession et le garer ailleurs pour éviter tout nouveau frais. Les factures produites pour ces deux prestations, respectivement de CHF 792.15 et CHF 259.45, réglées le 5 août 2024, couvrent ainsi les seules dépenses établies et effectives du recourant, rendues nécessaires pour que sa voiture soit à nouveau en état de rouler après son immobilisation. À cela s'ajoutent encore les frais de la dépanneuse venue chercher le véhicule à la fourrière après la levée du séquestre pour l'amener au garage (CHF 150.-), qui paraissent indispensables, la batterie étant déchargée. Au total, le recourant a ainsi démontré avoir subi un dommage de CHF 1'201.60 (CHF 792.15 + CHF 259.45 + CHF 150.-) découlant directement de la mesure de contrainte dont il a fait l'objet, que le Ministère public ne pouvait se dispenser d'indemniser.</w:t>
      </w:r>
    </w:p>
    <w:p>
      <w:r>
        <w:rPr>
          <w:b/>
        </w:rPr>
        <w:t>E. 4</w:t>
      </w:r>
    </w:p>
    <w:p>
      <w:r>
        <w:t>En définitive, le recours s'avère partiellement fondé. La décision déférée sera partiellement annulée en ce sens que le recourant doit se voir encore allouer CHF 1'201.60 (en sus des CHF 875.- déjà octroyés), à titre de juste compensation pour le dommage subi, en vertu de l'art. 434 CPP.</w:t>
      </w:r>
    </w:p>
    <w:p>
      <w:r>
        <w:rPr>
          <w:b/>
        </w:rPr>
        <w:t>E. 5</w:t>
      </w:r>
    </w:p>
    <w:p>
      <w:r>
        <w:t>Le recourant, qui n'obtient que partiellement gain de cause, supportera la moitié des frais de la procédure, fixés en totalité à CHF 1'000.- (art. 428 al. 1 CPP; art. 13 al. 1 du Règlement fixant le tarif des frais en matière pénale, RTFMP; E 4 10.03), soit CHF 500.-, le solde étant laissé à la charge de l'État.</w:t>
      </w:r>
    </w:p>
    <w:p>
      <w:r>
        <w:rPr>
          <w:b/>
        </w:rPr>
        <w:t>E. 6</w:t>
      </w:r>
    </w:p>
    <w:p>
      <w:r>
        <w:t>Le recourant sollicite le versement d'une juste compensation (CHF 6'547.50), fondée sur l'art. 434 CPP, eu égard à l'activité déployée par son conseil devant la Chambre de céans (14h33 d'activité, au tarif horaire de CHF 450.-).</w:t>
      </w:r>
    </w:p>
    <w:p>
      <w:r>
        <w:rPr>
          <w:b/>
        </w:rPr>
        <w:t>E. 6.1</w:t>
      </w:r>
    </w:p>
    <w:p>
      <w:r>
        <w:t>De telles prétentions sont, en principe, réglées dans le cadre de la décision finale (art. 434 al. 2 1ère phr. CPP) mais, compte tenu du contexte particulier du recours (cf. consid. 1.3.2 supra), il fait sens de traiter ce point.</w:t>
      </w:r>
    </w:p>
    <w:p>
      <w:r>
        <w:rPr>
          <w:b/>
        </w:rPr>
        <w:t>E. 6.2</w:t>
      </w:r>
    </w:p>
    <w:p>
      <w:r>
        <w:t>Eu égard à ses écritures, soit un recours de dix-neuf pages (page de garde et conclusions comprises) et une réplique de cinq pages, à l'absence de complexité de la cause et à l'issue du recours, le montant de CHF 6'547.50 réclamé paraît excessif. Il sera ramené à CHF 2'432.25, correspondant à 5h d'activité, au tarif horaire annoncé, TVA (8.1%) comprise.</w:t>
      </w:r>
    </w:p>
    <w:p>
      <w:r>
        <w:rPr>
          <w:b/>
        </w:rPr>
        <w:t>E. 7</w:t>
      </w:r>
    </w:p>
    <w:p>
      <w:r>
        <w:t>Conformément à l'art. 442 al. 4 CPP, la créance de l'État fondée sur les frais de la procédure de recours sera compensée à due concurrence avec le montant alloué au recourant à titre d'indemnité. * * * * *</w:t>
      </w:r>
    </w:p>
    <w:p>
      <w:r>
        <w:t>- 10/11 - P/12003/2022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