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ACPR/742/2023 vom 30. Mai 2023</w:t>
      </w:r>
    </w:p>
    <w:p>
      <w:r>
        <w:t>GE Cour de justice, 2023-05-30, FR</w:t>
      </w:r>
    </w:p>
    <w:p>
      <w:r>
        <w:rPr>
          <w:b/>
        </w:rPr>
        <w:t xml:space="preserve">Quelle: </w:t>
      </w:r>
      <w:r>
        <w:t>https://mcp.opencaselaw.ch/entscheid/ge_gerichte_ACPR_742_2023</w:t>
      </w:r>
    </w:p>
    <w:p>
      <w:r>
        <w:t>FR: GE_GERICHTE ACPR/742/2023 du 30 mai 2023</w:t>
      </w:r>
    </w:p>
    <w:p>
      <w:r>
        <w:t>IT: GE_GERICHTE ACPR/742/2023 del 30 maggio 2023</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recourants se plaignent d'une constatation incomplète des faits par le Ministère public (art. 393 al. 2 let. b CPP). Comme la juridiction de céans dispose d'un plein pouvoir de cognition (art. 393 al. 2 CPP; arrêt du Tribunal fédéral 1B_139/2022 du 2 mai 2022 consid. 2.2), les éventuelles lacunes entachant l’ordonnance querellée auront été corrigées dans l'état de fait établi ci-avant.</w:t>
      </w:r>
    </w:p>
    <w:p>
      <w:r>
        <w:t>- 7/14 - P/14525/2018 Le grief sera donc rejeté.</w:t>
      </w:r>
    </w:p>
    <w:p>
      <w:r>
        <w:rPr>
          <w:b/>
        </w:rPr>
        <w:t>E. 4</w:t>
      </w:r>
    </w:p>
    <w:p>
      <w:r>
        <w:t>Les recourants estiment qu’il existe une prévention suffisante, contre les prévenus, d’infraction contre l'honneur.</w:t>
      </w:r>
    </w:p>
    <w:p>
      <w:r>
        <w:rPr>
          <w:b/>
        </w:rPr>
        <w:t>E. 4.1</w:t>
      </w:r>
    </w:p>
    <w:p>
      <w:r>
        <w:t>Aux termes de l'art. 319 al. 1 let. b CPP, le ministère public ordonne le classement de tout ou partie de la procédure notamment lorsque les éléments constitutifs d'une infraction ne sont pas réunis. La décision de classer la procédure doit être prise en application du principe "in dubio pro duriore", qui découle du principe de la légalité (art. 5 al. 1 Cst. et art. 2 al. 2 CPP en relation avec les art. 319 al. 1 et 324 al. 1 CPP; ATF 138 IV 86 consid. 4.2 p. 91).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(ATF 143 IV 241 consid. 2.2.1 p. 243; arrêt du Tribunal fédéral 6B_116/2019 du 11 mars 2019 consid. 2.1).</w:t>
      </w:r>
    </w:p>
    <w:p>
      <w:r>
        <w:rPr>
          <w:b/>
        </w:rPr>
        <w:t>E. 4.2</w:t>
      </w:r>
    </w:p>
    <w:p>
      <w:r>
        <w:t>La procédure doit aussi être classée lorsqu’il est établi que certaines conditions à l’ouverture de l’action pénale ne peuvent pas être remplies ou que des empêchements de procéder sont apparus (art. 319 al. 1 let. d CPP). Tel est le cas lorsque l'action pénale est prescrite (ACPR/497/2022 du 26 juillet 2022 consid. 7.1.1), soit quatre ans pour les délits contre l'honneur (art. 178 al. 1 CP).</w:t>
      </w:r>
    </w:p>
    <w:p>
      <w:r>
        <w:rPr>
          <w:b/>
        </w:rPr>
        <w:t>E. 4.3</w:t>
      </w:r>
    </w:p>
    <w:p>
      <w:r>
        <w:t>L'art. 173 ch. 1 CP réprime le comportement de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Le fait d'accuser une personne d'avoir commis un crime ou un délit intentionnel entre dans les prévisions de l'art. 173 ch. 1 CP (ATF 132 IV 112 consid. 2.2.).</w:t>
      </w:r>
    </w:p>
    <w:p>
      <w:r>
        <w:t>- 8/14 - P/14525/2018 Pour qu'il y ait diffamation ou calomnie, il faut que l'auteur s'adresse à un tiers. Est en principe considérée comme tiers toute personne autre que l'auteur et l'objet des propos qui portent atteinte à l'honneur (ATF 86 IV 209).</w:t>
      </w:r>
    </w:p>
    <w:p>
      <w:r>
        <w:rPr>
          <w:b/>
        </w:rPr>
        <w:t>E. 4.4</w:t>
      </w:r>
    </w:p>
    <w:p>
      <w:r>
        <w:t>La calomnie (art. 174 CP) est une forme qualifiée de diffamation, dont elle se distingue par le fait que les allégations propagées sont fausses (arrêt du Tribunal fédéral 6B_1215/2020 du 22 avril 2021 consid. 3.1).</w:t>
      </w:r>
    </w:p>
    <w:p>
      <w:r>
        <w:rPr>
          <w:b/>
        </w:rPr>
        <w:t>E. 4.5</w:t>
      </w:r>
    </w:p>
    <w:p>
      <w:r>
        <w:t>Des déclarations objectivement attentatoires à l'honneur peuvent être justifiées par le devoir d'alléguer des faits dans le cadre d'une procédure (art. 14 CP). Ce fait justificatif doit en principe être examiné avant la question des preuves libératoires prévues par l'art. 173 ch. 2 CP (ATF 135 IV 177 consid. 4 p. 179). 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p. 86; arrêts du Tribunal fédéral 6B_960/2017 du 2 mai 2018 consid. 3.2; 6B_507/2017 du 8 septembre 2017 consid. 3.4). Ainsi, tant la partie que son avocat peuvent se prévaloir de l'art. 14 CP à condition de s'être exprimé de bonne foi, de s'être limité à ce qui est nécessaire et pertinent et d'avoir présenté comme telles de simples suppositions (ATF 131 IV 154 consid. 1.3.1 p. 157; 123 IV 97 consid. 2c/aa p. 99; 118 IV 248 consid. 2c et d p. 252/253; 116 IV 211 consid. 4a p. 213 ss).</w:t>
      </w:r>
    </w:p>
    <w:p>
      <w:r>
        <w:rPr>
          <w:b/>
        </w:rPr>
        <w:t>E. 4.6</w:t>
      </w:r>
    </w:p>
    <w:p>
      <w:r>
        <w:t>L'art. 177 CP réprime le comportement de celui qui aura, de toute autre manière, injurié autrui.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w:t>
      </w:r>
    </w:p>
    <w:p>
      <w:r>
        <w:rPr>
          <w:b/>
        </w:rPr>
        <w:t>E. 4.7</w:t>
      </w:r>
    </w:p>
    <w:p>
      <w:r>
        <w:t>En l'espèce, il est constant que les parties sont en litige devant un tribunal arbitral s'agissant du paiement de la prime de succès réclamée par H______ LAW LTD à G______. Dans le cadre dudit conflit, le premier cité est représenté par F______ et la seconde par les recourants. Les recourants ne contestent pas le classement motivé par l'acquisition de la prescription mais celui, superfétatoire, justifié par la non-réalisation des éléments constitutifs des infractions dénoncées. Ils souhaitent que le caractère diffamatoire des propos tenus par les prévenus soit reconnu. Dans la mesure où cette question a une incidence sur la répartition des frais et des dépens, la Chambre de céans entrera en matière. Les accusations contenues dans les écrits des 30, 31 mai et 12 juin 2018, selon lesquelles les recourants auraient agi de manière non conforme à la loi dans un but préjudiciable aux intérêts de leur ancien client, pourraient être attentatoires à l'honneur, les prévenus ne s'étant pas limités à remettre en cause leurs compétences professionnelles. Le fait que ces propos aient été adressés à une entité arbitrale n'en supprimerait pas le caractère diffamatoire. Cela étant, afin de démontrer que lesdits propos étaient conformes à la réalité et/ou qu'il les tenait de bonne foi, G______, sous la plume de son avocat, était dans l'obligation de détailler, à l'ICAC, les comportements qu'il considérait comme inadéquats ou pénalement répréhensibles. À cet égard, il a proposé divers moyens de preuve, parmi lesquels le témoignage écrit de l'ancien directeur dont la signature figurait aussi sur le document litigieux. Les propos apparaissent ainsi couverts par le devoir d'allégation en procédure. Au surplus, les accusations litigieuses ont été tenues uniquement dans le cadre de la procédure arbitrale, devant des personnes informées et conscientes des circonstances particulières dans lesquelles les assertions étaient formulées, à savoir les relations conflictuelles entre les parties. Indépendamment de la teneur des allégués, la diffusion paraît ainsi restreinte et confidentielle. L'on ne distingue dès lors pas, dans les démarches de G______ ainsi que de son avocat, de volonté de porter atteinte à l'honneur des recourants mais plutôt de dénoncer des comportements perçus, de bonne foi, comme inadéquats, ce d'autant plus que G______ a également déposé</w:t>
      </w:r>
    </w:p>
    <w:p>
      <w:r>
        <w:t>- 10/14 - P/14525/2018 plainte pour ces faits auprès du Ministère public du Tessin. Ainsi, on peut retenir que les déclarations litigieuses pouvaient entrer dans le cadre d’allégations en justice, proportionnées au but poursuivi, sans excéder la mesure admissible (art. 14 CP), étant souligné qu'il convient de retenir une certaine liberté de ton, nécessaire à toute dénonciation et/ou défense, dans le cadre d'une procédure judiciaire ou arbitrale. Aucun acte d'instruction ne serait de nature à modifier ces constatations. L'ordonnance attaquée est à cet égard exempte de critique.</w:t>
      </w:r>
    </w:p>
    <w:p>
      <w:r>
        <w:rPr>
          <w:b/>
        </w:rPr>
        <w:t>E. 4.8</w:t>
      </w:r>
    </w:p>
    <w:p>
      <w:r>
        <w:t>S'agissant de la lettre du 28 mai 2018, les recourants reprochent notamment aux prévenus de les avoir qualifiés de "malfaiteurs", d'avoir adopté un "comportement criminel" ou encore d'être la "honte de la profession juridique". Les infractions de diffamation et de calomnie ne sauraient entrer en ligne de compte, l'écrit litigieux n'ayant pas été adressé à des tiers mais aux recourants eux-mêmes. Sous l'angle de l'injure (art. 177 CP), bien que les termes choisis soient virulents, ils ne sont pas injurieux au sens de la jurisprudence rappelée ci-dessus. En effet, lesdits termes ne sont que l'expression d'un mécontentement face à l'activité professionnelle des recourants dans un contexte conflictuel, connu de ceux-ci. Ils ne revêtent pas la gravité nécessaire à la réalisation de l'infraction en cause. 5. Les recourants contestent devoir s'acquitter aussi bien des frais de la cause que des dépens réclamés par F______. 5.1. La répartition des frais de procédure repose sur le principe selon lequel celui qui les a causés doit les supporter (ATF 147 IV 47 consid. 4.2.3). En cas d'infraction poursuivie sur plainte – telle que la diffamation –, ils peuvent être mis à la charge de la partie plaignante – sans égard à une éventuelle faute de sa part (arrêt du Tribunal fédéral 6B_538/2021 du 8 décembre 2021 consid. 1.1.1) – pour autant que la cause ait été classée (art. 427 al. 2 let. a CPP) et que le prévenu n'ait pas été astreint au paiement des frais en vertu de l'art. 426 al. 2 CPP (art. 427 al. 2 let. b CPP); ces deux conditions sont cumulatives (arrêt du Tribunal fédéral 6B_1395/2017 du 30 mai 2018 consid. 2.1). La condamnation d'un prévenu acquitté à supporter tout ou partie des frais (art. 426 al. 2 CPP) peut, en principe, se fonder sur l'art. 28 CC, norme qui tend à protéger tout individu d'atteintes illicites – c'est-à-dire non justifiées par le consentement de la victime, par un intérêt prépondérant privé ou public ou par la loi – causées à sa personnalité (arrêts du Tribunal fédéral 6B_150/2014 du 23 septembre 2014 consid. 1.2; 6B_87/2012 du 27 avril 2012 consid. 1.4.1). La mise des frais à la charge du prévenu en cas d'acquittement ou de classement de la procédure doit demeurer l'exception (ATF 116 Ia 162 consid. 2c; arrêts du Tribunal</w:t>
      </w:r>
    </w:p>
    <w:p>
      <w:r>
        <w:t>- 11/14 - P/14525/2018 fédéral 6B_301/2017 du 20 février 2018 consid. 1.1 et 6B_957/2017 du 27 avril 2017 consid. 2.2). La règle de l'art. 427 al. 2 CPP a un caractère dispositif; l'on peut donc s'en écarter si la situation le justifie. La loi est muette sur les motifs pour lesquels les frais sont ou non imputés à la partie plaignante. Le juge, qui doit statuer selon les règles du droit et de l'équité (art. 4 CC; ATF 138 IV 248 consid. 4.2.4), dispose à cet égard d'un large pouvoir d'appréciation (arrêt du Tribunal fédéral 6B_538/2021 précité consid. 1.1.1). 5.2. Lorsque la partie plaignante supporte les frais en vertu de l'art. 427 al. 2 CPP, les dépens éventuellement alloués au prévenu peuvent être mis à sa charge en application de l'art. 432 al. 2 CPP (arrêt du Tribunal fédéral 6B_108/2018 précité consid. 4.1). 5.3. En l'espèce, il est constant que les recourants revêtent la qualité de parties plaignantes ayant participé à la procédure. La procédure, ouverte du chef de diffamation, calomnie et injure soit des infractions exclusivement poursuivies sur plainte, a été classée. La première des conditions cumulatives (let. a) posée par l'art. 427 al. 2 CPP est donc remplie. S'agissant de la seconde condition (let. b), c'est à juste titre que le Ministère public n'a pas imputé les frais de la procédure aux prévenus sur la base de l'art. 28 CC en lien avec l'art. 426 al. 2 CPP. En effet, la Chambre de céans a retenu que les propos litigieux pouvaient être justifiés par la sauvegarde d'intérêts légitimes en l'occurrence, soit le devoir d'allégation en procédure. L'admission de ce fait justificatif extralégal a donc conduit à la libération des prévenus, faute d'infraction (voir ATF 113 IV 4 consid. 3, faisant référence à l'art. 32 aCP, qui correspond à l'art. 14 CP). Il s'ensuit que ces derniers ne pouvaient pas être condamnés à supporter les frais de la procédure sur la base de ce comportement. Au vu de ce qui précède, les recourants pouvaient être condamnés aux frais de la procédure sur la base de l'art. 427 al. 2 CPP, à moins que les règles du droit et de l'équité n'eussent commandé une solution différente. En l'occurrence, rien ne s'oppose leur à faire supporter l'entier des frais de procédure. En effet, les recourants ont déposé plainte contre les intimés. Puis, après avoir recueilli la détermination de ces derniers, le Ministère public a suspendu la procédure, au motif qu'une procédure était pendante au Tessin, laquelle pouvait influencer la présente procédure. Après avoir repris l'instruction, le Ministère public a informé les parties de sa volonté de classer la procédure. Les recourants s'y sont opposés. Ainsi, toute l’instruction a reposé sur l’impulsion de ces derniers.</w:t>
      </w:r>
    </w:p>
    <w:p>
      <w:r>
        <w:t>- 12/14 - P/14525/2018 5.4. Les recourants ne prétendent pas qu'il y aurait lieu de régler la question de l'indemnisation de F______ différemment de celle des frais et ne développent aucune argumentation sous cet angle. Les conditions d'application de l'art. 432 al. 2 CPP étant similaires à celles prévalant en matière de frais de procédure selon l'art. 427 al. 2 CPP, les considérations développées dans le considérant ci-avant valent mutatis mutandis et emportent la même conclusion, étant précisé qu’ils n’ont pas remis en cause le montant de celle-ci. 6. Justifiée, l'ordonnance querellée sera dès lors confirmée. 7. Les recourants, qui succombent, supporteront les frais envers l'État, qui seront fixés en totalité à CHF 1'500.- (art. 428 al. 1 CPP et 13 al. 1 du Règlement fixant le tarif des frais en matière pénale, RTFMP ; E 4 10.03). * * * * *</w:t>
      </w:r>
    </w:p>
    <w:p>
      <w:r>
        <w:t>- 13/14 - P/14525/2018</w:t>
      </w:r>
    </w:p>
    <w:p>
      <w:r>
        <w:rPr>
          <w:b/>
        </w:rPr>
        <w:t>E. 8</w:t>
      </w:r>
    </w:p>
    <w:p>
      <w:r>
        <w:t>juin 2016 consid. 2.1.2 ; 6B_557/2013 du 12 septembre 2013 consid. 1.1 et les références, in SJ 2014 I 293). Traiter quelqu'un de "mongol", de "bande de salauds" ou de "petit con" constitue des jugements de valeur injurieux (ATF 117 IV 270 consid. 2b ; arrêt du Tribunal fédéral 6B_602/2009 du 29 septembre 2009 consid. 2.3). Le terme "vaffanculo", constitue,</w:t>
      </w:r>
    </w:p>
    <w:p>
      <w:r>
        <w:t>- 9/14 - P/14525/2018 en tout cas dans le contexte global de l'expulsion violente d'un magasin, une insulte dénigrante au sens de l'art. 177 CPP (arrêt du Tribunal fédéral 6B_794/2007 du 14 avril 2008 consid. 3.2.); l'infraction d'injure est également réalisée en présence de multiples messages contenant les propos : "Fuck you both", "grande salope", "minable merde", "pauvre conne", "vous êtes une putain", "espèce de conne", "vous êtes une merde", "grosse connasse" (jugement du Tribunal de police JDTP/1515/2017 du 17 novembre 2017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