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ACPR/741/2024 vom 30. Juli 2024</w:t>
      </w:r>
    </w:p>
    <w:p>
      <w:r>
        <w:t>GE Cour de justice, 2024-07-30, FR</w:t>
      </w:r>
    </w:p>
    <w:p>
      <w:r>
        <w:rPr>
          <w:b/>
        </w:rPr>
        <w:t xml:space="preserve">Quelle: </w:t>
      </w:r>
      <w:r>
        <w:t>https://mcp.opencaselaw.ch/entscheid/ge_gerichte_ACPR_741_2024</w:t>
      </w:r>
    </w:p>
    <w:p>
      <w:r>
        <w:t>FR: GE_GERICHTE ACPR/741/2024 du 30 juillet 2024</w:t>
      </w:r>
    </w:p>
    <w:p>
      <w:r>
        <w:t>IT: GE_GERICHTE ACPR/741/2024 del 30 luglio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estime que les charges ne se sont pas renforcées.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143 IV 316 consid. 3.1 et 3.2).</w:t>
      </w:r>
    </w:p>
    <w:p>
      <w:r>
        <w:t>- 8/12 - P/8882/2020</w:t>
      </w:r>
    </w:p>
    <w:p>
      <w:r>
        <w:rPr>
          <w:b/>
        </w:rPr>
        <w:t>E. 2.2</w:t>
      </w:r>
    </w:p>
    <w:p>
      <w:r>
        <w:t>En l'espèce, le recourant a été placé en détention provisoire, en juillet 2022, sur la base de soupçons – d'escroquerie, abus de confiance, diminution effective de l'actif au préjudice des créanciers et gestion fautive – énoncés dans le mandat d'arrêt du 8 juin 2022, qui a fondé son extradition depuis l'Italie. Depuis lors, il a fait l'objet de nouvelles charges – pour abus de confiance, gestion déloyale, escroquerie, diminution effective de l'actif au préjudice des créanciers, gestion fautive, violation de l'obligation de tenir une comptabilité, vol, voire soustraction d'une chose mobilière, et faux dans les titres – ayant fait l'objet du mandat d'arrêt du 24 août 2022, et de la première extension de l'extradition. Puis, il a fait l'objet de nouvelles charges, par suite de la plainte du 15 mai 2023 – pour appropriation illégitime, vol, escroquerie, violation d'une obligation d'entretien et infractions à la LAVS et la LPP –. Sur ce point, c'est en vain, et à tort, que le recourant allègue que les charges découlant de cette plainte ne lui auraient pas été signifiées avant la demande d'extension de l'extradition, puisqu'une audition conforme à l'art. 52 al. 2 et 3 EIMP leur a bel et bien été consacrée, le 13 octobre 2023 [à 8h50]. Que le Ministère public ait ensuite décidé de renouveler cette audience, le 19 septembre 2024, n'enlève rien à la portée de la précédente, auxquelles les autorités fédérales et italiennes, se sont d'ailleurs, à bon droit, référées. Le TMC pouvait donc tenir compte de ces (nouvelles) charges dans l'ordonnance querellée, les autorités italiennes ayant autorisé l'extension de l'extradition en février 2024. C'est donc inopportunément, voire de manière téméraire, que le recourant clame l'absence de renforcement des charges retenues contre lui depuis son arrestation. De même, il existe bel et bien des actes d'instruction en cours, auxquels le Ministère public, et le TMC à sa suite, pouvaient se référer.</w:t>
      </w:r>
    </w:p>
    <w:p>
      <w:r>
        <w:rPr>
          <w:b/>
        </w:rPr>
        <w:t>E. 3</w:t>
      </w:r>
    </w:p>
    <w:p>
      <w:r>
        <w:t>Le recourant estime ne présenter aucun risque de fuite, collusion et réitération.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w:t>
      </w:r>
    </w:p>
    <w:p>
      <w:r>
        <w:t>- 9/12 - P/8882/2020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l'ordonnance querellée se limite à prolonger l'interdiction de contact, destinée à pallier le risque de collusion retenu par le TMC. On peine dès lors à comprendre pour quel motif le recourant persiste à contester tout risque de fuite et de réitération, pour lesquels les mesures précédemment ordonnées ont été levées. L'ordonnance querellée fait interdiction au prévenu de prendre contact avec les participants à la procédure ou toute personne pouvant être entendue en qualité de témoin, notamment les employés de C______ SA, D______ SA et E______ SA. En l'occurrence, que ces sociétés ne soient plus actives n'enlève rien au risque de collusion qui persiste avec leurs employés, pour les actes qui sont reprochés au recourant en lien avec son activité d'administrateur. L'écoulement du temps ne modifie en rien l'intensité du risque, pour les personnes non encore entendues. Que le Portugal n'ait pas (encore) répondu à la demande de commission rogatoire n'abolit pas le risque de collusion avec les témoins devant être interrogés. C'est également à bon droit que le TMC a retenu – dans ses considérants mais pas dans le dispositif – un risque de collusion avec la plaignante Q______, laquelle doit être entendue fin octobre 2024. Les griefs du recourant seront donc rejetés.</w:t>
      </w:r>
    </w:p>
    <w:p>
      <w:r>
        <w:rPr>
          <w:b/>
        </w:rPr>
        <w:t>E. 4</w:t>
      </w:r>
    </w:p>
    <w:p>
      <w:r>
        <w:t>Le recourant invoque encore une violation du principe de la proportionnalité.</w:t>
      </w:r>
    </w:p>
    <w:p>
      <w:r>
        <w:rPr>
          <w:b/>
        </w:rPr>
        <w:t>E. 4.1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(ATF 133 I 270 consid. 3.4.2 p. 281-282; 125 I 60; arrêts du Tribunal fédéral 1B_750/2012 du 16 janvier 2013 consid. 2, 1B_624/2011 du 29 novembre 2011 consid. 3.1 et 1B_9/2011 du 7 février 2011 consid. 7.2).</w:t>
      </w:r>
    </w:p>
    <w:p>
      <w:r>
        <w:rPr>
          <w:b/>
        </w:rPr>
        <w:t>E. 4.2</w:t>
      </w:r>
    </w:p>
    <w:p>
      <w:r>
        <w:t>En l'occurrence, le recourant a été libéré début août 2022 et les mesures de substitution ordonnées alors ont progressivement été levées, pour n'en retenir qu'une seule. Cette seule mesure encore en force est une interdiction de contact avec des témoins et les parties à la procédure. Le recourant ne dit mot sur le préjudice que cette mesure lui causerait. Si, sur le principe, et dans la mesure du possible, une mesure de contrainte doit être limitée dans le temps pour ne pas porter atteinte aux libertés fondamentales d'un prévenu, on ne voit pas en quoi une interdiction de</w:t>
      </w:r>
    </w:p>
    <w:p>
      <w:r>
        <w:t>- 10/12 - P/8882/2020 contact avec des personnes que le recourant dit de toute manière ne pas souhaiter contacter le léserait dans l'un de ses droits constitutionnels. Il ne le soutient d'ailleurs pas. En outre, le recourant est particulièrement malvenu de se plaindre de la durée de la mesure querellée, alors qu'il s'est opposé aux deux demandes d'extradition complémentaires. S'il avait certes le droit de s'y opposer, il doit en revanche supporter les conséquences de cette posture, en particulier l'allongement de la procédure – et donc de l'interdiction de contact – rendue nécessaire par les actes requis à l'étranger et la persistance du risque de collusion. Pour ces raisons, l'ordonnance querellée ne viole nullement le principe de la proportionnalité.</w:t>
      </w:r>
    </w:p>
    <w:p>
      <w:r>
        <w:rPr>
          <w:b/>
        </w:rPr>
        <w:t>E. 5</w:t>
      </w:r>
    </w:p>
    <w:p>
      <w:r>
        <w:t>Le recours, mal fondé, sera ainsi rejeté.</w:t>
      </w:r>
    </w:p>
    <w:p>
      <w:r>
        <w:rPr>
          <w:b/>
        </w:rPr>
        <w:t>E. 6</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7. Le recourant plaide au bénéfice d'une défense d'office. 7.1.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7.2. En l'occurrence, bien qu'il s'agisse ici d'un premier recours, dans une procédure ouverte il y a quatre ans et ayant vu l'arrestation – et la mise en liberté – du prévenu il y a plus de deux ans, cette démarche, au vu des griefs invoqués, était manifestement dénué de chances de succès, pour les raisons expliquées ci-dessus et dont une partie lui avait déjà été expliquée par l'autorité précédente. Il n'y a donc pas à verser d'indemnité au défenseur d'office pour un tel acte. * * * * *</w:t>
      </w:r>
    </w:p>
    <w:p>
      <w:r>
        <w:t>- 11/12 - P/8882/2020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