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ACPR/73/2024 vom 22. Dezember 2023</w:t>
      </w:r>
    </w:p>
    <w:p>
      <w:r>
        <w:t>GE Cour de justice, 2023-12-22, FR</w:t>
      </w:r>
    </w:p>
    <w:p>
      <w:r>
        <w:rPr>
          <w:b/>
        </w:rPr>
        <w:t xml:space="preserve">Quelle: </w:t>
      </w:r>
      <w:r>
        <w:t>https://mcp.opencaselaw.ch/entscheid/ge_gerichte_ACPR_73_2024</w:t>
      </w:r>
    </w:p>
    <w:p>
      <w:r>
        <w:t>FR: GE_GERICHTE ACPR/73/2024 du 22 décembre 2023</w:t>
      </w:r>
    </w:p>
    <w:p>
      <w:r>
        <w:t>IT: GE_GERICHTE ACPR/73/2024 del 22 dicembre 2023</w:t>
      </w:r>
    </w:p>
    <w:p>
      <w:pPr>
        <w:pStyle w:val="Heading2"/>
      </w:pPr>
      <w:r>
        <w:t>Erwägungen</w:t>
      </w:r>
    </w:p>
    <w:p>
      <w:r>
        <w:rPr>
          <w:b/>
        </w:rPr>
        <w:t>E. 25</w:t>
      </w:r>
    </w:p>
    <w:p>
      <w:r>
        <w:t>août 2023 et interpellé avec un couteau le 7 octobre suivant. S'agissant du risque de récidive, le prévenu a indiqué "ne pas être tout à fait d'accord" avec la prise en charge préconisée par l'expert psychiatre, soit un traitement institutionnel en milieu addictologique. L'instruction se poursuivait par l'audition de l'expert, prévue à la fin janvier 2024, avant la délivrance de l'avis de prochaine clôture et le renvoi éventuel du prévenu en jugement. En tant que de besoin, il était précisé que la demande de téléphone du prévenu à sa mère avait été acceptée et qu'il pouvait recevoir des visites. Sa détention provisoire ou de sûreté avait été ordonnée pour une durée d'un mois en cas de paiement des amendes et peines pécuniaires et/ou de libération conditionnelle. d. Le recourant réplique. Il fait valoir que, suite à la révision de l'art. 222 CPP, le Ministère public ne disposait plus de la compétence de recourir contre les décisions du TMC relatives à la détention, de sorte qu'il ne devrait pas être appelé à s'exprimer dans le cadre de la présente procédure. Pour le surplus, il persiste dans ses conclusions. EN DROIT : 1. 1.1. 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1.2. Selon le recourant, le Ministère public n'avait pas à s'exprimer sur le recours dès lors qu'il ne dispose plus de la qualité pour recourir en matière de détention provisoire ou de sûreté [nouvel art. 222 CPP]. On ne voit pas en quoi cette nouvelle disposition empêcherait le Ministère public de prendre position, étant précisé qu'il reste partie à la procédure y compris dans la procédure de recours (art. 104 al. 1 let. c CPP) et que l’art. 390 al. 2 CPP prévoit expressément la consultation des autres parties. 2. Le recourant reproche au TMC d'avoir violé son droit d'être entendu en ne rendant pas une décision suffisamment motivée en lien avec le prononcé d'un mois de détention supplémentaire, après l'exécution des écrous.</w:t>
      </w:r>
    </w:p>
    <w:p>
      <w:r>
        <w:t>- 8/14 - P/17968/2019 2.1. 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 142 I 135 consid. 2.1 p. 145).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2.2. En l'occurrence, ce grief tombe à faux. L'ordonnance querellée explicite que le maintien en détention pour une durée supplémentaire est nécessaire pour éviter la libération du recourant en lien avec l'exécution des écrous, l'expert devant en outre être entendu avant l'avis de prochaine clôture et le renvoi, le cas échéant, du prévenu en jugement. Un tel délai a, en outre, déjà été développé par le TMC dans sa précédente ordonnance, soit celle du 19 octobre 2023, de sorte que le recourant ne saurait prétendre ne pas comprendre en quoi il consisterait. 3. Le recourant estime que les charges retenues ne permettent pas de justifier sa détention provisoire. 3.1. 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 3.2. En l'espèce, le recourant ne conteste pas avoir porté des coups de couteau à D______, considérant toutefois que la gravité des lésions n'est pas attestée et qu'il a agi en état de légitime défense et de responsabilité restreinte.</w:t>
      </w:r>
    </w:p>
    <w:p>
      <w:r>
        <w:t>- 9/14 - P/17968/2019 Or ces questions n'entrent pas en ligne de compte sous l'angle de l'appréciation des charges. En outre, la qualification juridique entre les lésions corporelles simples aggravée – retenues au début de l'instruction – et celle de tentative de lésions corporelles graves (en concours avec des lésions corporelles simples), importe peu du point de vue de la détention, étant rappelé que la première est passible d'une peine privative de liberté de 3 ans et suffit déjà à fonder la détention provisoire. Il appartiendra en définitive au recourant de contester la qualification juridique retenue par le Ministère public et à l'autorité de jugement de statuer sur ce point. Le grief est rejeté. 4. Le recourant estime ne présenter aucun risque de réitération. 4.1 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 137 IV 84 consid. 3.2 ;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 4.2. En l’espèce, la prévention du risque de récidive, voire de passage à l'acte, doit sans conteste permettre de faire prévaloir l'intérêt à la sécurité publique sur la liberté personnelle du recourant. Celui-ci – toxicomane de longue date, déjà condamné pour lésions corporelles – n'a pas hésité à faire usage d'un couteau lors de l'altercation du 1er septembre 2019. Même s'il n'a pas récidivé depuis lors, il n'en demeure pas moins</w:t>
      </w:r>
    </w:p>
    <w:p>
      <w:r>
        <w:t>- 10/14 - P/17968/2019 qu'il a été interpellé à deux reprises, les 26 août et 7 octobre 2023, au E______, en lien avec la détention d'armes interdites. Ses explications – contradictoires – sont préoccupantes, dès lors qu'il fait valoir aussi bien son besoin impérieux d'avoir un couteau pour se défendre [grâce auquel il avait, en septembre 2023, au E______, réussi à décourager un agresseur] que la promesse de ne plus jamais en détenir. Il existe ainsi un risque concret que le recourant commette à nouveau des infractions à l'intégrité physique d'autrui. Cette appréciation est corroborée par les conclusions de l'expert psychiatre, selon lequel l'intéressé est toujours à risque de se retrouver dans des situations conflictuelles dans lesquelles il sentirait le besoin de se défendre violemment. C'est d'autant plus à craindre que les projets du recourant sont peu aboutis et qu'il semble ambivalent quant au traitement préconisé [soit une mesure institutionnelle en milieu addictologique], puisqu'après y avoir – à teneur de l'expertise –, consenti, il expose que celui-ci – trop strict – ne lui conviendrait pas. 5. Le risque de récidive étant réalisé, l'autorité de recours peut se dispenser d'examiner, en l'état, si le risque de fuite – alternatif – l'est également (arrêt du Tribunal fédéral 1B_51/2021 du 31 mars 2021 consid. 3.1 et la jurisprudence citée). 6. Le recourant estime que des mesures de substitution pourraient se substituer à la détention. 6.1. Conformément au principe de la proportionnalité (art. 36 al. 3 Cst., concrétisé par l'art. 237 al. 1 CPP), le tribunal compétent ordonne une ou plusieurs mesures moins sévères en lieu et place de la détention si elles permettent d'atteindre le même but que la détention.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281- 282 ; 125 I 60 ; arrêts du Tribunal fédéral 1B_750/2012 du 16 janvier 2013 consid. 2, 1B_624/2011 du 29 novembre 2011 consid. 3.1 et 1B_9/2011 du 7 février 2011 consid. 7.2). 6.2. Le recourant ne s'oppose pas à l'exécution d'écrous [69 jours, augmentés de 32 jours] à titre de mesures de substitution à la détention – ce qu'il avait au demeurant lui-même sollicité –. Il n'y a donc pas lieu d'y revenir. Il allègue toutefois que l'exécution de ces peines privatives de liberté de substitution doit s'effectuer sous l'autorité du Service de l'application des peines et des mesures.</w:t>
      </w:r>
    </w:p>
    <w:p>
      <w:r>
        <w:t>- 11/14 - P/17968/2019 Il ne peut être suivi. Il incombe, en effet, à la direction de la procédure, et non à l'autorité d'exécution, d'évaluer les motifs de détention – en l'occurrence le risque de récidive – et les éventuelles mesures permettant d'y pallier (arrêt du Tribunal fédéral 1B_122/2022 du 20 avril 2022). En outre, le recourant a déjà exécuté une grande partie des écrous, étant précisé que les peines et soldes de peines privatives de liberté de moins de six mois sont généralement exécutées sous la forme de la semi-détention (art. 79 CP). L'allègement qu'il propose reviendrait ainsi à le remettre en liberté, ce qui ne se peut au vu du risque de récidive qu'il présente. A ce stade, il est prématuré d'envisager des mesures de substitution, la libération du recourant supposant – à dires d'expert – qu'un encadrement institutionnel strict soit organisé, ce qui n'est à l'évidence pas le cas. La reprise du suivi addictologique au CAAP-L______ n'y change rien, dès lors que la prise en charge ambulatoire doit être précédée, pendant une durée d'un an au minimum, d'une mesure institutionnelle. Les autres mesures proposées – l'obligation de se présenter aux convocations et l’interdiction de contacter les personnes concernées par la procédure – servent à prévenir les risques de fuite et de collusion, non retenus ici. 7. Le recourant estime que la durée de la détention provisoire ou de sûreté d'un mois, après l'exécution des peines, est disproportionnée. Le principe de proportionnalité (art. 212 al. 3 CPP) n’apparaît pas enfreint, étant souligné que le juge de la détention peut prévoir, à titre de condition à la mesure de substitution, le retour à la détention provisoire – ou pour motifs de sûreté – si l'exécution des précédentes condamnations devait entraîner la libération du prévenu avant l'issue de la procédure ayant amené à son placement en détention provisoire (ATF 142 IV 367, consid. 2.2 et les références citées). En outre, si le recourant – détenu en exécution de peines depuis le 19 octobre 2023 – devait être condamné pour les faits qui lui sont reprochés, la durée de la détention provisoire subie à ce jour [y compris avec l'imputation éventuelle, dans une proportion à déterminer, des mesures de substitution ordonnées le 2 septembre 2019] est proportionnée à la peine concrètement encourue s'il devait être reconnu coupable des infractions dont il est soupçonné. Cela étant, on ne voit pas ce qui, après l'audition de l'expert, retiendrait le Ministère public de clore l'instruction et, le cas échéant, de renvoyer le recourant en jugement encore dans le délai fixé par le TMC. 8. Le recours s'avère ainsi infondé et doit être rejeté.</w:t>
      </w:r>
    </w:p>
    <w:p>
      <w:r>
        <w:t>- 12/14 - P/17968/2019 9. 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10. Le recourant plaide au bénéfice d'une défense d'office.</w:t>
      </w:r>
    </w:p>
    <w:p>
      <w:r>
        <w:t>10.1.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10.2. En l'occurrence, quand bien même le recourant succombe, on peut admettre que l'exercice du présent recours ne procède pas d'un abus. L'indemnité du défenseur d'office sera fixée à la fin de la procédure (art. 135 al. 2 CPP). * * * * *</w:t>
      </w:r>
    </w:p>
    <w:p>
      <w:r>
        <w:t>- 13/14 - P/17968/2019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