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ACPR/73/2023 vom 23. Dezember 2022</w:t>
      </w:r>
    </w:p>
    <w:p>
      <w:r>
        <w:t>GE Cour de justice, 2022-12-23, FR</w:t>
      </w:r>
    </w:p>
    <w:p>
      <w:r>
        <w:rPr>
          <w:b/>
        </w:rPr>
        <w:t xml:space="preserve">Quelle: </w:t>
      </w:r>
      <w:r>
        <w:t>https://mcp.opencaselaw.ch/entscheid/ge_gerichte_ACPR_73_2023</w:t>
      </w:r>
    </w:p>
    <w:p>
      <w:r>
        <w:t>FR: GE_GERICHTE ACPR/73/2023 du 23 décembre 2022</w:t>
      </w:r>
    </w:p>
    <w:p>
      <w:r>
        <w:t>IT: GE_GERICHTE ACPR/73/2023 del 23 dicembre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libération conditionnelle. 3.1.1. En vertu de l'art. 86 al. 1 CP, l'autorité compétente libère conditionnellement le détenu qui a subi les deux tiers de sa peine si son comportement durant l'exécution de celle-ci ne s'y oppose pas et s'il n'y a pas lieu de craindre qu'il ne commette de nouveaux crimes ou délits.</w:t>
      </w:r>
    </w:p>
    <w:p>
      <w:r>
        <w:t>- 8/11 - PM/1317/2022 3.1.2. Dite libération constitue la règle et son refus l'exception. Il n'est pas nécessaire, pour son octroi, qu'un pronostic positif puisse être posé; il suffit qu’il ne soit pas défavorable. Doivent être pris en considération, pour émettre ce pronostic,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p. 203; arrêt du Tribunal fédéral 6B_387/2021 du 13 août 2021 consid. 4.1). Pour déterminer si l'on peut courir le risque de récidive, inhérent à toute libération qu'elle soit conditionnelle ou définitive (ATF 119 IV 5 consid. 1b p. 7; arrêt du Tribunal fédéral 6B_387/2021 précité), il faut non seulement tenir compte du degré de probabilité qu'une nouvelle infraction soit commise, mais également de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p. 115; arrêt du Tribunal fédéral 6B_387/2021 précité). Il sied de comparer les avantages et inconvénients de l'exécution du solde de la peine avec la libération conditionnelle (ATF 124 IV 193 consid. 4a et consid. 5b/bb p. 196 et ss; arrêt du Tribunal fédéral 6B_387/2021 précité). Dans l'émission du pronostic, les juridictions cantonales disposent d'un large pouvoir d'appréciation (ATF 133 IV 201 précité, consid. 2.3 p. 204; arrêt du Tribunal fédéral 6B_387/2021 précité). 3.1.3. Lorsque le détenu qui requiert sa libération conditionnelle a commis un crime visé à l’art. 64 al. 1 CP, parmi lesquels figure l'infraction à l'art. 190 CP, et que l’autorité d’exécution n’est pas en mesure de se prononcer de manière catégorique sur son caractère dangereux pour la collectivité (art. 75a al. 1 let. b CP), une commission spécialisée (art. 62d al. 2 CP) est tenue d’apprécier ce même caractère (art. 75a al. 1 CP), soit à Genève la CED (art. 4 LaCP).</w:t>
      </w:r>
    </w:p>
    <w:p>
      <w:r>
        <w:rPr>
          <w:b/>
        </w:rPr>
        <w:t>E. 3.2</w:t>
      </w:r>
    </w:p>
    <w:p>
      <w:r>
        <w:t>En l'espèce, le pronostic, s'agissant du risque de récidive, se présente sous un jour défavorable, nonobstant les préavis positifs des établissements de détention. Contrairement à ce qu'affirme le recourant, l'incident du 10 mai 2022 à la prison de D______ est suffisamment établi à teneur des documents annexés au préavis, lesquels décrivent le comportement du recourant observé par un agent de détention. Il n'y a dès lors pas lieu de solliciter un rapport à ce sujet, étant souligné qu'avant la procédure dont est recours, l'intéressé n'a pas contesté les faits, tout comme il n'a pas recouru contre la sanction qui lui a été notifiée.</w:t>
      </w:r>
    </w:p>
    <w:p>
      <w:r>
        <w:t>- 9/11 - PM/1317/2022 Outre le fait que cet incident est préoccupant en terme de risque de récidive, le recourant n'a – comme relevé par la CED - pas réellement commencé le suivi psychothérapeutique auquel il était astreint. Il n'y a pas eu de travail sur le délit, sur la capacité de remise en question de l'intéressé et de ses fonctionnements, en particulier en lien avec ses consommations de toxiques, ce d'autant plus que son alcoolisme et ses tendances toxicomaniaques avaient été identifiées par l'expert comme principal facteur de risque de récidive. Sa bonne volonté – somme toute très récente – de s'investir désormais dans la thérapie ne saurait être suffisante pour retenir que le pronostic n'est pas défavorable. Dans ce contexte, l'audition de sa psychologue n'apparait pas de nature à apporter des éléments utiles, étant souligné qu'elle pourra faire part de l'évolution du recourant lors du prochain examen de libération conditionnelle. Les conditions d'une libération conditionnelle ne sont ainsi, en l'état, pas réalisées.</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rPr>
          <w:b/>
        </w:rPr>
        <w:t>E. 6</w:t>
      </w:r>
    </w:p>
    <w:p>
      <w:r>
        <w:t>Le défenseur d'office du recourant n'a pas produit d'état de frais en instance de recours.</w:t>
      </w:r>
    </w:p>
    <w:p>
      <w:r>
        <w:rPr>
          <w:b/>
        </w:rPr>
        <w:t>E. 6.1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6.2</w:t>
      </w:r>
    </w:p>
    <w:p>
      <w:r>
        <w:t>En l'occurrence, il sera alloué au défenseur, ex aequo et bono, une indemnité de CHF 800.- TTC pour son activité devant l'instance de recours. * * * * *</w:t>
      </w:r>
    </w:p>
    <w:p>
      <w:r>
        <w:t>- 10/11 - PM/1317/2022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