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ACPR/738/2022 vom 28. September 2022</w:t>
      </w:r>
    </w:p>
    <w:p>
      <w:r>
        <w:t>GE Cour de justice, 2022-09-28, FR</w:t>
      </w:r>
    </w:p>
    <w:p>
      <w:r>
        <w:rPr>
          <w:b/>
        </w:rPr>
        <w:t xml:space="preserve">Quelle: </w:t>
      </w:r>
      <w:r>
        <w:t>https://mcp.opencaselaw.ch/entscheid/ge_gerichte_ACPR_738_2022</w:t>
      </w:r>
    </w:p>
    <w:p>
      <w:r>
        <w:t>FR: GE_GERICHTE ACPR/738/2022 du 28 septembre 2022</w:t>
      </w:r>
    </w:p>
    <w:p>
      <w:r>
        <w:t>IT: GE_GERICHTE ACPR/738/2022 del 28 settembre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 l'ordonnance querellée ayant été communiquée par pli simple – (art. 385 al. 1 et 396 al. 1 CPP), concerne une ordonnance sujette à recours auprès de la Chambre de céans (art. 393 al. 1 let. a CPP) et émane du prévenu, partie à la procédure (art. 104 al. 1 let. a et 322 al. 2 et CPP).</w:t>
      </w:r>
    </w:p>
    <w:p>
      <w:r>
        <w:rPr>
          <w:b/>
        </w:rPr>
        <w:t>E. 2.2</w:t>
      </w:r>
    </w:p>
    <w:p>
      <w:r>
        <w:t>À teneur de l'art. 40 al. 2 CPP, lorsque les autorités de poursuite pénale de différents cantons ne peuvent s’entendre sur le for, le ministère public du canton saisi en premier de la cause soumet la question sans retard, et, en tout cas, avant la mise en accusation, au Tribunal pénal fédéral, qui tranche. L'art. 41 al. 1 CPP stipule que lorsqu’une partie entend contester la compétence de l’autorité en charge de la procédure pénale, elle doit immédiatement demander à cette dernière de transmettre l’affaire à l’autorité pénale compétente. L'al. 2 précise que les parties peuvent attaquer dans les dix jours, et conformément à l’art. 40 CPP, devant l’autorité compétente, l’attribution du for décidée par les ministères publics concernés (art. 39 al. 2 CPP; arrêt de la Cour des plaintes du Tribunal pénal fédéral BG.2020.17 du 17 juin 2020 consid. 1.1).</w:t>
      </w:r>
    </w:p>
    <w:p>
      <w:r>
        <w:t>- 4/6 - P/16216/2022 Ainsi, le recours est irrecevable, la Chambre de céans n'étant pas l'autorité compétente pour trancher la question de for intercantonal.</w:t>
      </w:r>
    </w:p>
    <w:p>
      <w:r>
        <w:rPr>
          <w:b/>
        </w:rPr>
        <w:t>E. 3</w:t>
      </w:r>
    </w:p>
    <w:p>
      <w:r>
        <w:t>Le recourant, qui succombe, supportera les frais envers l'État, qui seront fixés en totalité à CHF 600.- (art. 428 al. 1 CPP et 13 al. 1 du Règlement fixant le tarif des frais en matière pénale, RTFMP; E 4 10.03), étant précisé que, même lorsque qu'il bénéficie de l'assistance judiciaire, le recourant débouté peut être condamné à prendre à sa charge les frais de la procédure, dans la mesure de ses moyens (arrêt du Tribunal fédéral 6B_380/2013 du 16 janvier 2014 consid. 5).</w:t>
      </w:r>
    </w:p>
    <w:p>
      <w:r>
        <w:rPr>
          <w:b/>
        </w:rPr>
        <w:t>E. 4</w:t>
      </w:r>
    </w:p>
    <w:p>
      <w:r>
        <w:t>Le recourant plaide au bénéfice d'une défense d'office.</w:t>
      </w:r>
    </w:p>
    <w:p>
      <w:r>
        <w:rPr>
          <w:b/>
        </w:rPr>
        <w:t>E. 4.1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4.2</w:t>
      </w:r>
    </w:p>
    <w:p>
      <w:r>
        <w:t>En l'occurrence, le recours était voué à l'échec et la Chambre de céans avait déjà attiré l'attention du conseil du recourant dans sa précédente décision sur son éventuelle incompétence à raison de la matière. L'indemnité du défenseur d'office sera ainsi refusée dans le cadre de cette procédure. * * * * *</w:t>
      </w:r>
    </w:p>
    <w:p>
      <w:r>
        <w:t>- 5/6 - P/16216/2022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