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ACPR/736/2022 vom 6. Oktober 2022</w:t>
      </w:r>
    </w:p>
    <w:p>
      <w:r>
        <w:t>GE Cour de justice, 2022-10-06, FR</w:t>
      </w:r>
    </w:p>
    <w:p>
      <w:r>
        <w:rPr>
          <w:b/>
        </w:rPr>
        <w:t xml:space="preserve">Quelle: </w:t>
      </w:r>
      <w:r>
        <w:t>https://mcp.opencaselaw.ch/entscheid/ge_gerichte_ACPR_736_2022</w:t>
      </w:r>
    </w:p>
    <w:p>
      <w:r>
        <w:t>FR: GE_GERICHTE ACPR/736/2022 du 6 octobre 2022</w:t>
      </w:r>
    </w:p>
    <w:p>
      <w:r>
        <w:t>IT: GE_GERICHTE ACPR/736/2022 del 6 ottobre 2022</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sauf en réplique, dans laquelle il conteste avoir été un organisateur des transports illicites. Cette accusation, qui est en réalité le reflet des déclarations du comparse, n’est pas issue telle quelle de l’ordonnance querellée ; il n’en reste pas moins que le recourant a admis avoir mis en œuvre ce comparse à trois reprises. Il n'y a donc pas à s'attarder sur l’intensité des charges, mais à renvoyer, en tant que de besoin, à la motivation adoptée par le</w:t>
      </w:r>
    </w:p>
    <w:p>
      <w:r>
        <w:t>- 4/7 - P/20962/2022 premier juge (art. 82 al. 4 CPP; ACPR/747/2020 du 22 octobre 2020 consid. 2 et les références), qui expose les indices graves et concordants pesant sur le recourant.</w:t>
      </w:r>
    </w:p>
    <w:p>
      <w:r>
        <w:rPr>
          <w:b/>
        </w:rPr>
        <w:t>E. 3</w:t>
      </w:r>
    </w:p>
    <w:p>
      <w:r>
        <w:t>Le recourant affirme que le risque de collusion n’existe plus.</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risque de collusion ne disparaît pas du seul fait que le recourant et son comparse ont été entendus et que des perquisitions ont été diligemment déclenchées. Il est, certes, à noter que la mise en liberté du coprévenu paraît avoir été ordonnée sans confrontation préalable. Il n’en reste pas moins que c’est le recourant qui a mis en cause une tierce personne, voire deux, et qu’il importe, autant que faire se peut, que leur identité soit percée. On peut s’attendre, par exemple, à ce que des recherches tenant aux circonstances dans lesquelles une voiture a été mise à disposition du recourant, et particulièrement celles entourant l’immatriculation au nom de sa société, impliquant a priori la connaissance du détenteur précédent, donnent quelque résultat. De même, le manque de coopération du recourant à livrer les accès à ses E______[portables] suscite l’interrogation. Si des mesures techniques devaient être entreprises pour prendre connaissance de leurs contenus – entraînant sa détention dans l’intervalle –, le recourant ne pourrait s’en prendre qu’à lui-même, car la protection de ses intérêts privés et commerciaux, qu’il invoque, n’est pas incompatible avec la manifestation de la vérité, voire peut bénéficier de garanties procédurales adéquates.</w:t>
      </w:r>
    </w:p>
    <w:p>
      <w:r>
        <w:t>- 5/7 - P/20962/2022 Sous ces deux volets, le risque de collusion est concret.</w:t>
      </w:r>
    </w:p>
    <w:p>
      <w:r>
        <w:rPr>
          <w:b/>
        </w:rPr>
        <w:t>E. 4</w:t>
      </w:r>
    </w:p>
    <w:p>
      <w:r>
        <w:t>Ce risque suffisant à faire échec au recours, il n'est pas nécessaire d'examiner ce qu'il en serait du risque de réitération. De jurisprudence constante, en effet, si l'un des motifs prévus aux lettres a à c de l'art. 221 al. 1 CPP est réalisé, il n'y a pas lieu d'examiner si un autre risque entre également en considération (arrêt du Tribunal fédéral 1B_51/2021 du 31 mars 2021 consid. 3.1. et les références).</w:t>
      </w:r>
    </w:p>
    <w:p>
      <w:r>
        <w:rPr>
          <w:b/>
        </w:rPr>
        <w:t>E. 5</w:t>
      </w:r>
    </w:p>
    <w:p>
      <w:r>
        <w:t>À titre subsidiaire, le recourant propose des mesures de substitution. Tant le Ministère public que le premier juge n'en tiennent aucune pour efficace. Une seule a à voir avec le risque de collusion, soit l’interdiction de tout contact avec le comparse et le tiers, au sens de l’art. 237 al. 2 let. g CPP. Or, astreindre le recourant à ne pas contacter une ou des personnes inconnue(s) à ce jour, mais susceptibles d’être mises en cause ou de le mettre en cause, serait une obligation qui ne pourrait pas être vérifiée, s’il était libéré. À ce stade précoce de l’instruction, il convient d’écarter cette suggestion.</w:t>
      </w:r>
    </w:p>
    <w:p>
      <w:r>
        <w:rPr>
          <w:b/>
        </w:rPr>
        <w:t>E. 6</w:t>
      </w:r>
    </w:p>
    <w:p>
      <w:r>
        <w:t>Eu égard à l’intensité de l’activité reprochée et à la volonté de lucre qui paraît l’avoir inspirée, la durée du placement en détention, telle que l’a fixée le premier juge, n’atteint pas encore la peine à laquelle le recourant pourrait s’exposer s’il était reconnu coupable de toutes les préventions qui lui ont été notifiées.</w:t>
      </w:r>
    </w:p>
    <w:p>
      <w:r>
        <w:rPr>
          <w:b/>
        </w:rPr>
        <w:t>E. 7</w:t>
      </w:r>
    </w:p>
    <w:p>
      <w:r>
        <w:t>Le recours s'avère ainsi infondé et doit être rejeté.</w:t>
      </w:r>
    </w:p>
    <w:p>
      <w:r>
        <w:rPr>
          <w:b/>
        </w:rPr>
        <w:t>E. 8</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w:t>
      </w:r>
    </w:p>
    <w:p>
      <w:r>
        <w:rPr>
          <w:b/>
        </w:rPr>
        <w:t>E. 9</w:t>
      </w:r>
    </w:p>
    <w:p>
      <w:r>
        <w:t>La procédure n'étant pas terminée, il n'y a pas lieu d'indemniser, à ce stade, son défenseur d'office (art. 135 al. 2 CPP). * * * * *</w:t>
      </w:r>
    </w:p>
    <w:p>
      <w:r>
        <w:t>- 6/7 - P/20962/2022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