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ACPR/735/2022 vom 10. Oktober 2022</w:t>
      </w:r>
    </w:p>
    <w:p>
      <w:r>
        <w:t>GE Cour de justice, 2022-10-10, FR</w:t>
      </w:r>
    </w:p>
    <w:p>
      <w:r>
        <w:rPr>
          <w:b/>
        </w:rPr>
        <w:t xml:space="preserve">Quelle: </w:t>
      </w:r>
      <w:r>
        <w:t>https://mcp.opencaselaw.ch/entscheid/ge_gerichte_ACPR_735_2022</w:t>
      </w:r>
    </w:p>
    <w:p>
      <w:r>
        <w:t>FR: GE_GERICHTE ACPR/735/2022 du 10 octobre 2022</w:t>
      </w:r>
    </w:p>
    <w:p>
      <w:r>
        <w:t>IT: GE_GERICHTE ACPR/735/2022 del 10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P/10916/2020</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 qui est du reste renvoyé en jugement.</w:t>
      </w:r>
    </w:p>
    <w:p>
      <w:r>
        <w:rPr>
          <w:b/>
        </w:rPr>
        <w:t>E. 3</w:t>
      </w:r>
    </w:p>
    <w:p>
      <w:r>
        <w:t>Le recourant conteste tout risque de fuite, exposant qu'il aurait bel et bien l'intention de comparaître à l'audience de jugement. Ce grief est toutefois vain, aucun risque de fuite n'ayant été retenu contre lui.</w:t>
      </w:r>
    </w:p>
    <w:p>
      <w:r>
        <w:rPr>
          <w:b/>
        </w:rPr>
        <w:t>E. 4</w:t>
      </w:r>
    </w:p>
    <w:p>
      <w:r>
        <w:t>Le recourant conteste un risque de réitération.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w:t>
      </w:r>
    </w:p>
    <w:p>
      <w:r>
        <w:rPr>
          <w:b/>
        </w:rPr>
        <w:t>E. 4.2</w:t>
      </w:r>
    </w:p>
    <w:p>
      <w:r>
        <w:t>En l'espèce, le recourant semble alléguer que la détention pour des motifs de sûreté ne serait autorisée que pour pallier l'éventuel risque qu'il ne comparaisse pas à l'audience de jugement. C'est toutefois faire fi de l'art. 221 al. 1 1ère phrase CPP, lequel prévoit que tant la détention provisoire que la détention pour des motifs de sûreté peuvent être ordonnées lorsque l'un des trois risques énoncés, soit fuite, collusion ou réitération, est réalisé. En l'occurrence, le risque de récidive, loin d'être "théorique", est bel et bien patent, le recourant ayant non seulement été condamné à plusieurs reprises pour des actes de violence contre des tiers, mais il a été condamné en 2020 à une peine privative de liberté pour s'en être pris physiquement à D______ et aux enfants de celle-ci.</w:t>
      </w:r>
    </w:p>
    <w:p>
      <w:r>
        <w:rPr>
          <w:b/>
        </w:rPr>
        <w:t>E. 5</w:t>
      </w:r>
    </w:p>
    <w:p>
      <w:r>
        <w:t>Le risque de réitération étant réalisé, l'autorité de recours peut se dispenser d'examiner si un autre risque – alternatif – l'est également (arrêt du Tribunal fédéral 1B_51/2021 du 31 mars 2021 consid. 3.1 et la jurisprudence citée).</w:t>
      </w:r>
    </w:p>
    <w:p>
      <w:r>
        <w:t>- 6/9 - P/10916/2020</w:t>
      </w:r>
    </w:p>
    <w:p>
      <w:r>
        <w:rPr>
          <w:b/>
        </w:rPr>
        <w:t>E. 6</w:t>
      </w:r>
    </w:p>
    <w:p>
      <w:r>
        <w:t>Le recourant sollicite le prononcé de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et/ou l'interdiction d'entretenir des relations avec certaines personnes (al. 2 let. g).</w:t>
      </w:r>
    </w:p>
    <w:p>
      <w:r>
        <w:rPr>
          <w:b/>
        </w:rPr>
        <w:t>E. 6.2</w:t>
      </w:r>
    </w:p>
    <w:p>
      <w:r>
        <w:t>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6.3</w:t>
      </w:r>
    </w:p>
    <w:p>
      <w:r>
        <w:t>En l'espèce, une partie des faits reprochés au recourant – et pour lesquels il est renvoyé en jugement – sont soupçonnés d'avoir été commis alors qu'il résidait chez ses parents, après sa libération de prison en avril 2021. On ne saurait donc considérer que l'hébergement proposé ici, chez son père, serait de nature à pallier le risque important de réitération retenu ci-dessus, étant relevé que, dans la présente affaire, des enfants mineurs sont concernés, dont on ne saurait attendre qu'ils signalent toute prise de contact ou tentative d'approche par l'intéressé.</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l'espèce, il est prévu que le recourant, détenu depuis un peu plus de 8 mois, sera jugé le 15 novembre 2022. À cette date, la détention provisoire et pour des motifs de sûreté accomplie ne dépassera pas la peine de 11 mois requise par le Ministère public, de sorte que le principe de la proportionnalité n'est pas violé. En revanche, la date de l’audience de jugement étant désormais connue, il n’y a pas lieu de prolonger la détention au-delà des quelques jours qui pourraient,</w:t>
      </w:r>
    </w:p>
    <w:p>
      <w:r>
        <w:t>- 7/9 - P/10916/2020 éventuellement, être nécessaires à une demande de prolongation, si la procédure devait connaître un retard imprévu (arrêt du Tribunal fédéral 1B_405/2013 du 3 décembre 2013 consid. 3.3). Le recours doit, dès lors, être admis sur ce point.</w:t>
      </w:r>
    </w:p>
    <w:p>
      <w:r>
        <w:rPr>
          <w:b/>
        </w:rPr>
        <w:t>E. 8</w:t>
      </w:r>
    </w:p>
    <w:p>
      <w:r>
        <w:t>Le recours s'avère ainsi très partiellement fondé et l'ordonnance querellée sera en partie annulée pour ramener l'échéance de la détention pour des motifs de sûreté au 30 novembre 2022.</w:t>
      </w:r>
    </w:p>
    <w:p>
      <w:r>
        <w:rPr>
          <w:b/>
        </w:rPr>
        <w:t>E. 9</w:t>
      </w:r>
    </w:p>
    <w:p>
      <w:r>
        <w:t>Le recourant, qui succombe presque intégralement, supportera les deux tiers des frais envers l'État, fixés en totalité à CHF 900.-, soit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compte tenu de l'issue du recours, l'acte ne procédait pas d'un abus. L'indemnité du défenseur d'office sera fixée à la fin de la procédure (art. 135 al. 2 CPP). * * * * *</w:t>
      </w:r>
    </w:p>
    <w:p>
      <w:r>
        <w:t>- 8/9 - P/10916/2020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