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ACPR/735/2020 vom 28. September 2020</w:t>
      </w:r>
    </w:p>
    <w:p>
      <w:r>
        <w:t>GE Cour de justice, 2020-09-28, FR</w:t>
      </w:r>
    </w:p>
    <w:p>
      <w:r>
        <w:rPr>
          <w:b/>
        </w:rPr>
        <w:t xml:space="preserve">Quelle: </w:t>
      </w:r>
      <w:r>
        <w:t>https://mcp.opencaselaw.ch/entscheid/ge_gerichte_ACPR_735_2020</w:t>
      </w:r>
    </w:p>
    <w:p>
      <w:r>
        <w:t>FR: GE_GERICHTE ACPR/735/2020 du 28 septembre 2020</w:t>
      </w:r>
    </w:p>
    <w:p>
      <w:r>
        <w:t>IT: GE_GERICHTE ACPR/735/2020 del 28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non-aggravation des charges par suite du rapport de police du 4 septembre 2020.</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Il résulte des principes jurisprudentiels sus-rappelés que, contrairement à l'avis du recourant, les charges ne doivent pas obligatoirement s'aggraver à mesure que l'instruction avance, mais les soupçons ayant fondé le placement en détention provisoire ne doivent pas se réduire au point d'apparaître insuffisants à justifier le maintien en prison. En l'occurrence, il résulte de l'analyse du téléphone portable du</w:t>
      </w:r>
    </w:p>
    <w:p>
      <w:r>
        <w:t>- 7/11 - P/10723/2020 recourant que celui-ci a, le 17 juin 2020, recherché où se situait le restaurant I______, alors qu'il avait déclaré ne pas avoir su ce que C______ avait été faire en France, avoir refusé de l'y amener car il ne pouvait pas quitter la Suisse et s'être borné à lui rendre un service en allant le chercher à la frontière, ce qui ne correspond ni aux messages qu'il a envoyés au précité le matin du 17 juin 2020 – qui confirment que les deux hommes avaient rendez-vous –, ni aux observations des inspecteurs de police – qui l'ont vu véhiculer C______ jusqu'à la frontière, où ce dernier est ensuite monté à bord du véhicule de D______. Les derniers éléments recueillis confortent donc, à ce stade, le soupçon que A______, qui est bien plus lié à C______ que ce qu'il a jusqu'ici admis – à teneur des propres déclarations du précité –, a fonctionné, le 17 juin 2020, en qualité de guetteur (à la frontière) et de chauffeur lors de l'importation des 4 kilogrammes de cocaïne. Les autres éléments résultant des analyses de la téléphonie mobile – le fait qu'il appelait le précité "oncle" et continuait à utiliser le compte O______ de son précédent raccordement après avoir installé une nouvelle carte SIM dans son téléphone – ne réduisent en tout cas pas ces soupçons. Partant, c'est à bon droit que le TMC a retenu que les derniers éléments de l'instruction n'avaient pas amoindri les charges depuis sa dernière ordonnance.</w:t>
      </w:r>
    </w:p>
    <w:p>
      <w:r>
        <w:rPr>
          <w:b/>
        </w:rPr>
        <w:t>E. 3</w:t>
      </w:r>
    </w:p>
    <w:p>
      <w:r>
        <w:t>Le recourant nie tout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w:t>
      </w:r>
    </w:p>
    <w:p>
      <w:r>
        <w:rPr>
          <w:b/>
        </w:rPr>
        <w:t>E. 3.2</w:t>
      </w:r>
    </w:p>
    <w:p>
      <w:r>
        <w:t>En l'espèce, les charges ne s'étant pas amoindries, le risque que le recourant soit tenté de quitter la Suisse pour échapper à la procédure pénale subsiste. Il est d'autant plus important que le prévenu est impliqué dans un trafic portant sur plus de</w:t>
      </w:r>
    </w:p>
    <w:p>
      <w:r>
        <w:rPr>
          <w:b/>
        </w:rPr>
        <w:t>E. 4</w:t>
      </w:r>
    </w:p>
    <w:p>
      <w:r>
        <w:t>Le recourant conteste également un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le risque de collusion ne s'est pas amoindri, tant s'en faut, à l'égard des autres personnes impliquées dans le trafic de stupéfiants auquel le recourant est soupçonné d'avoir participé, en particulier les individus avec lesquels C______ et D______ ont eu contact au restaurant I______, ainsi que le dénommé "L______", que le premier désigne comme le commanditaire de la cocaïne saisie.</w:t>
      </w:r>
    </w:p>
    <w:p>
      <w:r>
        <w:rPr>
          <w:b/>
        </w:rPr>
        <w:t>E. 5</w:t>
      </w:r>
    </w:p>
    <w:p>
      <w:r>
        <w:t>Au vu des deux risques retenus, point n'est besoin d'examiner si s'y ajoute aussi le risque de réitération retenu par le TMC.</w:t>
      </w:r>
    </w:p>
    <w:p>
      <w:r>
        <w:rPr>
          <w:b/>
        </w:rPr>
        <w:t>E. 6</w:t>
      </w:r>
    </w:p>
    <w:p>
      <w:r>
        <w:t>Le recourant propose des mesures de substitution.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6.2</w:t>
      </w:r>
    </w:p>
    <w:p>
      <w:r>
        <w:t>En l'espèce, le risque de fuite est d'une importance telle que la saisie des documents d'identité, l'interdiction de quitter la Suisse, l'assignation à résidence, le port d'un bracelet électronique et l'obligation de s'annoncer à un poste de police, même ordonnés conjointement, ne seraient pas suffisants à empêcher le recourant – le cas échéant avec sa femme et ses enfants – de retourner au Kosovo, par voie de terre. Ces mesures ne permettraient que de constater, après coup, leur départ. La caution de CHF 3'000.- proposée paraît bien insuffisante à retenir la fuite du recourant, au regard des sommes en jeu dans le trafic de cocaïne dont il est soupçonné. L'interdiction de contact est dérisoire et inapte à empêcher le recourant de parler, directement ou par le biais d'intermédiaires, avec les autres participants audit trafic, dont l'intérêt à être informés de l'avancement de l'instruction est élevé. Il s'ensuit que la détention paraît, en l'état, seule à même de pallier les risques retenus.</w:t>
      </w:r>
    </w:p>
    <w:p>
      <w:r>
        <w:rPr>
          <w:b/>
        </w:rPr>
        <w:t>E. 7</w:t>
      </w:r>
    </w:p>
    <w:p>
      <w:r>
        <w:t>La détention provisoire, ordonnée en l'état pour une durée de six mois en totalité respecte le principe de la proportionnalité au vu de la peine concrètement encourue si le recourant devait être reconnu coupable des faits dont il est prévenu.</w:t>
      </w:r>
    </w:p>
    <w:p>
      <w:r>
        <w:rPr>
          <w:b/>
        </w:rPr>
        <w:t>E. 8</w:t>
      </w:r>
    </w:p>
    <w:p>
      <w:r>
        <w:t>Le recours s'avère ainsi infondé et doit être rejeté.</w:t>
      </w:r>
    </w:p>
    <w:p>
      <w:r>
        <w:rPr>
          <w:b/>
        </w:rPr>
        <w:t>E. 9</w:t>
      </w:r>
    </w:p>
    <w:p>
      <w:r>
        <w:t>Le recourant, qui succombe, supportera les frais envers l'État, qui seront fixés à CHF 900.-, y compris un émolument de décision (art. 428 al. 1 CPP et 13 al. 1 du Règlement fixant le tarif des frais en matière pénale, RTFMP ; E 4 10.03). * * * * *</w:t>
      </w:r>
    </w:p>
    <w:p>
      <w:r>
        <w:t>- 10/11 - P/10723/2020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