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ACPR/735/2019 vom 2. Mai 2019</w:t>
      </w:r>
    </w:p>
    <w:p>
      <w:r>
        <w:t>GE Cour de justice, 2019-05-02, FR</w:t>
      </w:r>
    </w:p>
    <w:p>
      <w:r>
        <w:rPr>
          <w:b/>
        </w:rPr>
        <w:t xml:space="preserve">Quelle: </w:t>
      </w:r>
      <w:r>
        <w:t>https://mcp.opencaselaw.ch/entscheid/ge_gerichte_ACPR_735_2019</w:t>
      </w:r>
    </w:p>
    <w:p>
      <w:r>
        <w:t>FR: GE_GERICHTE ACPR/735/2019 du 2 mai 2019</w:t>
      </w:r>
    </w:p>
    <w:p>
      <w:r>
        <w:t>IT: GE_GERICHTE ACPR/735/2019 del 2 maggio 2019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Si le recours a été déposé selon la forme et – faute de notification conforme à l'art. 85 al. 2 CPP – dans les délai prescrits (art. 310 al. 2, 322 al. 2, 385 al. 1 et art. 396 al. 1 CPP) et concerne une ordonnance sujette à recours auprès de la Chambre de céans (art. 393 al. 1 let. a CPP), il reste à déterminer si le recourant a un intérêt juridiquement protégé à l'annulation ou à la modification de l'ordonnance attaquée (art. 382 al. 1 CPP). Cette question doit être examinée d’office par l’autorité pénale. Toute partie recourante doit ainsi s’attendre à ce que son recours soit examiné sous cet angle, sans qu’il en résulte pour autant de violation de son droit d’être entendue (arrêt du Tribunal fédéral 6B_1207/2013 du 14 mai 2014 consid. 2.1). 2.2.1. Selon l'art. 382 al. 1 CPP, toute partie qui a un intérêt juridiquement protégé à l'annulation ou à la modification d'une décision a qualité pour recourir contre celle- ci. Tel est, en particulier, le cas du lésé qui s'est constitué demandeur au pénal, indépendamment d'éventuelles conclusions civiles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2.2.2. L'art. 303 CP tend, notamment, à protéger la personne qui se prétend accusée faussement (arrêt du Tribunal fédéral 6B_243/2015 du 12 juin 2015 consid. 2.2). En revanche, l'art. 304 CP protège exclusivement des intérêts collectifs, à savoir l'administration de la justice (ACPR/813/2016 du 23 décembre 2016 consid. 1.3.ii; A. MACALUSO / L. MOREILLON / N. QUELOZ (éds), Commentaire romand, Code pénal II, vol. II, Partie spéciale : art. 111-392 CP, Bâle 2017, n. 1 ad art. 304; M. DUPUIS / L. MOREILLON / C. PIGUET / S. BERGER / M. MAZOU / V.</w:t>
      </w:r>
    </w:p>
    <w:p>
      <w:r>
        <w:t>- 6/10 - P/5124/2019 RODIGARI (éds), Petit commentaire du Code pénal, 2e éd., Bâle 2017, n. 1 ad art. 304).</w:t>
      </w:r>
    </w:p>
    <w:p>
      <w:r>
        <w:rPr>
          <w:b/>
        </w:rPr>
        <w:t>E. 2.3</w:t>
      </w:r>
    </w:p>
    <w:p>
      <w:r>
        <w:t>En l'espèce, le recourant ne peut prétendre avoir été atteint directement dans ses droits s'agissant de l'infraction alléguée à l'art. 304 CP, cette disposition ayant pour but de protéger des intérêts collectifs, et non individuels. Le statut de partie plaignante, et par conséquent la qualité pour recourir, doivent donc lui être déniés sur cet aspect. En revanche, il est habilité à contester la non-entrée en matière sous l'angle de l'art. 303 CP et d'éventuelles infractions protégeant l'honneur. Le recours est donc recevable dans cette seule mesure.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3.2</w:t>
      </w:r>
    </w:p>
    <w:p>
      <w:r>
        <w:t>L'art. 303 ch. 1 al. 1 CP réprime le comportement de celui qui aura dénoncé à l'autorité, comme auteur d'un crime ou d'un délit, une personne qu'il savait innocente, en vue de faire ouvrir contre elle une poursuite pénale. Sur le plan objectif, une dénonciation n'est calomnieuse que si la personne mise en cause est innocente, en ce sens qu'elle n'a pas commis les faits qui lui sont</w:t>
      </w:r>
    </w:p>
    <w:p>
      <w:r>
        <w:t>- 7/10 - P/5124/2019 faussement imputés, soit parce que ceux-ci ne se sont pas produits, soit parce qu'elle n'en est pas l'auteur. Sur le plan subjectif, l'auteur doit savoir que la personne qu'il dénonce est innocente. Il s'agit d'une connaissance au sens strict. Le dol éventuel ne suffit pas (ATF 136 consid. 2.1 et les références citées). Celui qui admet que sa dénonciation est peut-être fausse ne sait pas innocente la personne dénoncée (ATF 136 IV 170 consid. 2.1; U. CASSANI, Commentaire du droit pénal suisse, partie spéciale, vol. 9, Berne 1996, n. 21 ad art. 303 CP). Par ailleurs, l'auteur doit agir en vue de faire ouvrir une poursuite pénale contre la personne qu'il accuse injustement. Le dol éventuel suffit quant à cette intention (ATF 85 IV 83; 80 IV 120). La preuve de l’intention de l’auteur doit être soumise à des exigences élevées (M. NIGGLI / H. WIPRÄCHTIGER, Basler Kommentar Strafrecht II: Art. 111-392 StGB, 3ème éd., Bâle 2013, n. 25 ad art. 303 CP). 3.3.1.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références citée). 3.3.2. 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 3.3.3.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 consid. 2a p. 15 et les références). Il ne suffit pas qu'elle l'abaisse dans la bonne opinion qu'elle a d'elle-même ou dans les qualités qu'elle croit avoir, notamment dans le cadre de ses activités professionnelles, artistiques ou politiques. Échappent donc à</w:t>
      </w:r>
    </w:p>
    <w:p>
      <w:r>
        <w:t>- 8/10 - P/5124/2019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 ATF 128 IV 53 consid. 1a p. 57 s. et les références citées ; arrêt du Tribunal fédéral 6B_441/2016 du 29 mars 2017 consid. 4.1).</w:t>
      </w:r>
    </w:p>
    <w:p>
      <w:r>
        <w:rPr>
          <w:b/>
        </w:rPr>
        <w:t>E. 3.4</w:t>
      </w:r>
    </w:p>
    <w:p>
      <w:r>
        <w:t>En l'occurrence, les propos tenus par le mis en cause à l'audience du 12 février 2019, en particulier les exemples cités par celui-ci, ne font référence à aucun fait précis mais expriment plutôt un ressenti. Ainsi, l'on ne saurait déduire de ces propos peu circonstanciés que le recourant serait une personne méprisable, au sens de la jurisprudence précitée, même s'il avait été impliqué dans une bagarre. En outre, aucun élément concret ne permet d'inférer que le mis en cause aurait tenu les propos litigieux dans le seul but de faire, dolosivement, ouvrir une procédure pénale contre le recourant. Aucune suite pénale n'a du reste eu lieu. Il ressort au contraire du dossier que le mis en cause, qui avait déposé une plainte pénale contre le recourant après réception de divers messages menaçants, n'a fait qu'étayer ses craintes. Or, celles-ci se sont avérées fondées puisque le Tribunal correctionnel a reconnu le recourant coupable de tentative de contrainte s'agissant des faits dénoncés par le mis en cause dans sa plainte du 25 septembre 2018. Au vu de ce qui précède, aucune infraction ne peut être reprochée au mis en cause, faute de prévention pénale suffisante.</w:t>
      </w:r>
    </w:p>
    <w:p>
      <w:r>
        <w:rPr>
          <w:b/>
        </w:rPr>
        <w:t>E. 4</w:t>
      </w:r>
    </w:p>
    <w:p>
      <w:r>
        <w:t>Justifiée, l'ordonnance querellée, exempte de critique dans son résultat, sera donc confirmée, par substitution de motifs (arrêt du Tribunal fédéral 1B_137/2012 du 25 juillet 2012 consid. 4.3).</w:t>
      </w:r>
    </w:p>
    <w:p>
      <w:r>
        <w:rPr>
          <w:b/>
        </w:rPr>
        <w:t>E. 5</w:t>
      </w:r>
    </w:p>
    <w:p>
      <w:r>
        <w:t>Le recourant, qui succombe, supportera les frais envers l'État, qui comprendront un émolument de CHF 900.- (art. 428 al. 1 CPP et 13 al. 1 du Règlement fixant le tarif des frais en matière pénale, RTFMP ; E 4 10.03). * * * * *</w:t>
      </w:r>
    </w:p>
    <w:p>
      <w:r>
        <w:t>- 9/10 - P/5124/2019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